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036" w:type="dxa"/>
        <w:tblLook w:val="04A0" w:firstRow="1" w:lastRow="0" w:firstColumn="1" w:lastColumn="0" w:noHBand="0" w:noVBand="1"/>
      </w:tblPr>
      <w:tblGrid>
        <w:gridCol w:w="611"/>
        <w:gridCol w:w="7464"/>
        <w:gridCol w:w="4961"/>
      </w:tblGrid>
      <w:tr w:rsidR="00D9129A" w:rsidRPr="002B63CE" w14:paraId="0E9A156B" w14:textId="77777777" w:rsidTr="00C25B82">
        <w:tc>
          <w:tcPr>
            <w:tcW w:w="611" w:type="dxa"/>
          </w:tcPr>
          <w:p w14:paraId="54015840" w14:textId="77777777" w:rsidR="00D9129A" w:rsidRPr="002B63CE" w:rsidRDefault="00D9129A">
            <w:pPr>
              <w:rPr>
                <w:rFonts w:ascii="Times New Roman" w:hAnsi="Times New Roman" w:cs="Times New Roman"/>
                <w:sz w:val="22"/>
                <w:szCs w:val="22"/>
              </w:rPr>
            </w:pPr>
          </w:p>
        </w:tc>
        <w:tc>
          <w:tcPr>
            <w:tcW w:w="12425" w:type="dxa"/>
            <w:gridSpan w:val="2"/>
          </w:tcPr>
          <w:p w14:paraId="6880459F" w14:textId="77777777" w:rsidR="003E4669" w:rsidRPr="002B63CE" w:rsidRDefault="003E4669" w:rsidP="00D9129A">
            <w:pPr>
              <w:jc w:val="center"/>
              <w:rPr>
                <w:rFonts w:ascii="Times New Roman" w:hAnsi="Times New Roman" w:cs="Times New Roman"/>
                <w:b/>
                <w:bCs/>
                <w:sz w:val="22"/>
                <w:szCs w:val="22"/>
              </w:rPr>
            </w:pPr>
          </w:p>
          <w:p w14:paraId="618D8E54" w14:textId="066BE32F" w:rsidR="003E4669" w:rsidRPr="002B63CE" w:rsidRDefault="002B63CE" w:rsidP="00D9129A">
            <w:pPr>
              <w:jc w:val="center"/>
              <w:rPr>
                <w:rFonts w:ascii="Times New Roman" w:hAnsi="Times New Roman" w:cs="Times New Roman"/>
                <w:b/>
                <w:bCs/>
                <w:sz w:val="22"/>
                <w:szCs w:val="22"/>
              </w:rPr>
            </w:pPr>
            <w:r w:rsidRPr="002B63CE">
              <w:rPr>
                <w:rFonts w:ascii="Times New Roman" w:hAnsi="Times New Roman" w:cs="Times New Roman"/>
                <w:b/>
                <w:bCs/>
                <w:sz w:val="22"/>
                <w:szCs w:val="22"/>
              </w:rPr>
              <w:t>The Ministry of Economy, Environment and Agriculture of Ukraine</w:t>
            </w:r>
          </w:p>
        </w:tc>
      </w:tr>
      <w:tr w:rsidR="00903180" w:rsidRPr="002B63CE" w14:paraId="39CB3529" w14:textId="77777777" w:rsidTr="00C25B82">
        <w:tc>
          <w:tcPr>
            <w:tcW w:w="611" w:type="dxa"/>
          </w:tcPr>
          <w:p w14:paraId="483468BC" w14:textId="51336361" w:rsidR="00903180" w:rsidRPr="002B63CE" w:rsidRDefault="00903180">
            <w:pPr>
              <w:rPr>
                <w:rFonts w:ascii="Times New Roman" w:hAnsi="Times New Roman" w:cs="Times New Roman"/>
                <w:sz w:val="22"/>
                <w:szCs w:val="22"/>
              </w:rPr>
            </w:pPr>
          </w:p>
        </w:tc>
        <w:tc>
          <w:tcPr>
            <w:tcW w:w="12425" w:type="dxa"/>
            <w:gridSpan w:val="2"/>
          </w:tcPr>
          <w:p w14:paraId="0C126C23" w14:textId="2CEB0716" w:rsidR="00903180" w:rsidRPr="002B63CE" w:rsidRDefault="002B63CE" w:rsidP="00903180">
            <w:pPr>
              <w:jc w:val="center"/>
              <w:rPr>
                <w:rFonts w:ascii="Times New Roman" w:hAnsi="Times New Roman" w:cs="Times New Roman"/>
                <w:b/>
                <w:bCs/>
                <w:sz w:val="22"/>
                <w:szCs w:val="22"/>
              </w:rPr>
            </w:pPr>
            <w:r w:rsidRPr="002B63CE">
              <w:rPr>
                <w:rFonts w:ascii="Times New Roman" w:hAnsi="Times New Roman" w:cs="Times New Roman"/>
                <w:b/>
                <w:bCs/>
                <w:sz w:val="22"/>
                <w:szCs w:val="22"/>
              </w:rPr>
              <w:t>Comments and suggestions on the project "Energy Strategy of the Republic of Moldova for the period 2025- 2050" were received by the Ministry of Economy, Environment and Agriculture of Ukraine from governmental authorities</w:t>
            </w:r>
          </w:p>
        </w:tc>
      </w:tr>
      <w:tr w:rsidR="00903180" w:rsidRPr="002B63CE" w14:paraId="6DD8F904" w14:textId="77777777" w:rsidTr="00D17F93">
        <w:tc>
          <w:tcPr>
            <w:tcW w:w="611" w:type="dxa"/>
          </w:tcPr>
          <w:p w14:paraId="43C33372" w14:textId="10699465" w:rsidR="00903180" w:rsidRPr="002B63CE" w:rsidRDefault="00903180">
            <w:pPr>
              <w:rPr>
                <w:rFonts w:ascii="Times New Roman" w:hAnsi="Times New Roman" w:cs="Times New Roman"/>
                <w:sz w:val="22"/>
                <w:szCs w:val="22"/>
              </w:rPr>
            </w:pPr>
            <w:r w:rsidRPr="002B63CE">
              <w:rPr>
                <w:rFonts w:ascii="Times New Roman" w:hAnsi="Times New Roman" w:cs="Times New Roman"/>
                <w:sz w:val="22"/>
                <w:szCs w:val="22"/>
              </w:rPr>
              <w:t>1</w:t>
            </w:r>
          </w:p>
        </w:tc>
        <w:tc>
          <w:tcPr>
            <w:tcW w:w="7464" w:type="dxa"/>
          </w:tcPr>
          <w:p w14:paraId="6575E0CC" w14:textId="18B775EA" w:rsidR="00903180"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General procedural and methodological shortcomings of the SEA Report (Sections l,'7, 8,11)</w:t>
            </w:r>
          </w:p>
          <w:p w14:paraId="702F987A" w14:textId="77777777" w:rsidR="002B63CE" w:rsidRPr="002B63CE" w:rsidRDefault="002B63CE" w:rsidP="002B63CE">
            <w:pPr>
              <w:jc w:val="both"/>
              <w:rPr>
                <w:rFonts w:ascii="Times New Roman" w:hAnsi="Times New Roman" w:cs="Times New Roman"/>
                <w:sz w:val="22"/>
                <w:szCs w:val="22"/>
              </w:rPr>
            </w:pPr>
          </w:p>
          <w:p w14:paraId="3AD86425" w14:textId="77777777" w:rsidR="002B63CE"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The SEA Report has been prepared with significant methodological limitations that do not allow for a fuI1 assessment of the transboundary impacts of the implementation of the Energy Strategy, in particular on the water resources of the Dniester River basin, namely: </w:t>
            </w:r>
          </w:p>
          <w:p w14:paraId="3AE6CEB4"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the assessment of transboundary impact is general and declarative in nature and is not based on quantitative or scenario analysis; </w:t>
            </w:r>
          </w:p>
          <w:p w14:paraId="380ABB2B"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there is no comprehensive analysis of alternative energy sector development options from the perspective of minimising transboundary impacts; </w:t>
            </w:r>
          </w:p>
          <w:p w14:paraId="635384EE"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the participation of interested stakeholders from the Ukrainian side, including operators of hydropower infrastructure, is reflected only formally;</w:t>
            </w:r>
          </w:p>
          <w:p w14:paraId="40FE9B81" w14:textId="02A08679"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 the document places primary emphasis on the development of RES (solar and wind generation), while insufficiently addressing the role of hydropower and pumped storage power plants as key elements of flexibility, balancing and resilience of the energy system, especially in conditions of increasing RES penetration; </w:t>
            </w:r>
          </w:p>
          <w:p w14:paraId="2D4BDCFE" w14:textId="5269D433"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the text lacks a clear distinction between environmental risks associated with new construction and the significantly lower impacts of modernisation, reconstruction and efficiency upgrades of existing hydropower plants. </w:t>
            </w:r>
          </w:p>
          <w:p w14:paraId="36469A28" w14:textId="77777777" w:rsidR="002B63CE" w:rsidRDefault="002B63CE" w:rsidP="002B63CE">
            <w:pPr>
              <w:jc w:val="both"/>
              <w:rPr>
                <w:rFonts w:ascii="Times New Roman" w:hAnsi="Times New Roman" w:cs="Times New Roman"/>
                <w:sz w:val="22"/>
                <w:szCs w:val="22"/>
              </w:rPr>
            </w:pPr>
          </w:p>
          <w:p w14:paraId="00F74319" w14:textId="28D5CDFB"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Furthermore, the SEA Report considers hydropower mainly through the prism of environmental constraints, without fully taking into account its comprehensive role in: </w:t>
            </w:r>
          </w:p>
          <w:p w14:paraId="6F4EAF68" w14:textId="0EDAF50A"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peak and emergency capacity regulation; </w:t>
            </w:r>
          </w:p>
          <w:p w14:paraId="3ECFFD46" w14:textId="0B058F14"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maintaining system frequency and voltage; </w:t>
            </w:r>
          </w:p>
          <w:p w14:paraId="3299762E" w14:textId="0EBB343F" w:rsidR="002B63CE"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flood protection, water management balance and climate change adaptation.</w:t>
            </w:r>
          </w:p>
        </w:tc>
        <w:tc>
          <w:tcPr>
            <w:tcW w:w="4961" w:type="dxa"/>
          </w:tcPr>
          <w:p w14:paraId="017AEB51"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We take note of the comments regarding the methodological approach of the SEA Report, particularly in relation to the assessment of transboundary impacts on the basin of the Dniester River.</w:t>
            </w:r>
          </w:p>
          <w:p w14:paraId="63A230F4"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First, it is important to recall that the SEA was conducted at a strategic level, in full compliance with national legislation and the applicable international framework. By its nature, an SEA evaluates policies and strategic directions rather than specific projects. The Energy Strategy does not define concrete hydropower projects, locations or technical parameters; therefore, detailed quantitative modelling of hydrological impacts would not have been methodologically appropriate at this stage. Such analysis is required at project level under EIA procedures, including transboundary consultations where relevant.</w:t>
            </w:r>
          </w:p>
          <w:p w14:paraId="603CF920"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The SEA nevertheless recognises the transboundary character of the Dniester basin, identifies water resources and aquatic ecosystems as sensitive receptors, and recommends that any future hydropower developments be subject to full environmental assessment. Clarifications to this effect have been introduced in Sections 10, 11 and 12.</w:t>
            </w:r>
          </w:p>
          <w:p w14:paraId="1E2E28ED"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 xml:space="preserve">Regarding alternatives, the Strategy assesses different development pathways, including renewable energy expansion, energy efficiency and system flexibility measures. The emphasis on solar and wind reflects diversification and energy security objectives, not a disregard for hydropower. Hydropower is acknowledged for its role in peak regulation, </w:t>
            </w:r>
            <w:r w:rsidRPr="00D17F93">
              <w:rPr>
                <w:rFonts w:ascii="Times New Roman" w:hAnsi="Times New Roman" w:cs="Times New Roman"/>
                <w:sz w:val="22"/>
                <w:szCs w:val="22"/>
                <w:lang w:val="en-GB"/>
              </w:rPr>
              <w:lastRenderedPageBreak/>
              <w:t>balancing and system stability, while the SEA also distinguishes between the potentially higher impacts of new construction and the significantly lower impacts associated with modernisation and efficiency upgrades of existing facilities.</w:t>
            </w:r>
          </w:p>
          <w:p w14:paraId="6BE4DFF1"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It is also essential to note that the three energy facilities located in the middle reach of the Dniester River are situated in the Transnistrian region, which is not under the effective control of the constitutional authorities of the Republic of Moldova. Consequently, the Government does not exercise operational control over these installations, which limits the scope of strategic intervention through national planning documents.</w:t>
            </w:r>
          </w:p>
          <w:p w14:paraId="46700435" w14:textId="77777777" w:rsidR="00D17F93" w:rsidRPr="00D17F93" w:rsidRDefault="00D17F93" w:rsidP="00D17F93">
            <w:pPr>
              <w:jc w:val="both"/>
              <w:rPr>
                <w:rFonts w:ascii="Times New Roman" w:hAnsi="Times New Roman" w:cs="Times New Roman"/>
                <w:sz w:val="22"/>
                <w:szCs w:val="22"/>
                <w:lang w:val="en-GB"/>
              </w:rPr>
            </w:pPr>
            <w:r w:rsidRPr="00D17F93">
              <w:rPr>
                <w:rFonts w:ascii="Times New Roman" w:hAnsi="Times New Roman" w:cs="Times New Roman"/>
                <w:sz w:val="22"/>
                <w:szCs w:val="22"/>
                <w:lang w:val="en-GB"/>
              </w:rPr>
              <w:t>In conclusion, the SEA reflects the appropriate level of detail for a strategic planning instrument. It integrates transboundary considerations, clarifies environmental safeguards, and maintains a balanced approach between energy security, system resilience and environmental protection within the institutional realities of the Dniester River basin.</w:t>
            </w:r>
          </w:p>
          <w:p w14:paraId="44578D6A" w14:textId="0AD0A5F2" w:rsidR="00FA651C" w:rsidRPr="002B63CE" w:rsidRDefault="00FA651C" w:rsidP="00175161">
            <w:pPr>
              <w:jc w:val="both"/>
              <w:rPr>
                <w:rFonts w:ascii="Times New Roman" w:hAnsi="Times New Roman" w:cs="Times New Roman"/>
                <w:sz w:val="22"/>
                <w:szCs w:val="22"/>
              </w:rPr>
            </w:pPr>
          </w:p>
        </w:tc>
      </w:tr>
      <w:tr w:rsidR="00903180" w:rsidRPr="002B63CE" w14:paraId="7BDB0E53" w14:textId="77777777" w:rsidTr="00D17F93">
        <w:tc>
          <w:tcPr>
            <w:tcW w:w="611" w:type="dxa"/>
          </w:tcPr>
          <w:p w14:paraId="37D602AB" w14:textId="350D32BB" w:rsidR="00903180" w:rsidRPr="002B63CE" w:rsidRDefault="002B63CE">
            <w:pPr>
              <w:rPr>
                <w:rFonts w:ascii="Times New Roman" w:hAnsi="Times New Roman" w:cs="Times New Roman"/>
                <w:sz w:val="22"/>
                <w:szCs w:val="22"/>
              </w:rPr>
            </w:pPr>
            <w:r>
              <w:rPr>
                <w:rFonts w:ascii="Times New Roman" w:hAnsi="Times New Roman" w:cs="Times New Roman"/>
                <w:sz w:val="22"/>
                <w:szCs w:val="22"/>
              </w:rPr>
              <w:lastRenderedPageBreak/>
              <w:t>2</w:t>
            </w:r>
          </w:p>
        </w:tc>
        <w:tc>
          <w:tcPr>
            <w:tcW w:w="7464" w:type="dxa"/>
          </w:tcPr>
          <w:p w14:paraId="14A5B19C" w14:textId="77777777" w:rsidR="00903180"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Shortcomings in the assessment of impacts on the Dniester River in the transboundary context (Sections 3.3.2 "'Water", 8 "Potential significant environmental effects", 11 "Identification of cross-border impact")</w:t>
            </w:r>
          </w:p>
          <w:p w14:paraId="6E549929" w14:textId="77777777" w:rsidR="002B63CE" w:rsidRDefault="002B63CE" w:rsidP="002B63CE">
            <w:pPr>
              <w:jc w:val="both"/>
              <w:rPr>
                <w:rFonts w:ascii="Times New Roman" w:hAnsi="Times New Roman" w:cs="Times New Roman"/>
                <w:sz w:val="22"/>
                <w:szCs w:val="22"/>
              </w:rPr>
            </w:pPr>
          </w:p>
          <w:p w14:paraId="7E99194B"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The SEA Report does not provide an adequate assessment of the actual and potential impacts of energy facilities located in the Dniester River basin on the hydrological regime and ecological status of the transboundary water body. In particular, the following analyses have not been carried out:</w:t>
            </w:r>
          </w:p>
          <w:p w14:paraId="73EE4BBC" w14:textId="17DC6EF3"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 assessment of impacts on daily and seasonal flow fluctuations;</w:t>
            </w:r>
          </w:p>
          <w:p w14:paraId="229C980C" w14:textId="26A06FD0"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cumulative impact assessment of existing and planned facilities;</w:t>
            </w:r>
          </w:p>
          <w:p w14:paraId="0C175187"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analysis of consequences for the operation of hydropower facilities downstream on the territory of Ukraine</w:t>
            </w:r>
            <w:r>
              <w:rPr>
                <w:rFonts w:ascii="Times New Roman" w:hAnsi="Times New Roman" w:cs="Times New Roman"/>
                <w:sz w:val="22"/>
                <w:szCs w:val="22"/>
              </w:rPr>
              <w:t>.</w:t>
            </w:r>
          </w:p>
          <w:p w14:paraId="6D83A8B4"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Insufficient attention is given to the role of hydropower in climate change adaptation, particularly with regard to: water resource management under changing </w:t>
            </w:r>
            <w:r w:rsidRPr="002B63CE">
              <w:rPr>
                <w:rFonts w:ascii="Times New Roman" w:hAnsi="Times New Roman" w:cs="Times New Roman"/>
                <w:sz w:val="22"/>
                <w:szCs w:val="22"/>
              </w:rPr>
              <w:lastRenderedPageBreak/>
              <w:t xml:space="preserve">hydrological regimes; reduction of drought and flood risks; ensuring water security for adjacent economic sectors. </w:t>
            </w:r>
          </w:p>
          <w:p w14:paraId="7081BCBB" w14:textId="3C323763"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Despite the declared need to increase energy system flexibility, the document does not sufficiently detail the role of pumped storage hydropower plants (PSPs) as the most large-scale and technologically mafure long-term energy storage solution. </w:t>
            </w:r>
          </w:p>
          <w:p w14:paraId="28312979" w14:textId="211F5B4C" w:rsidR="002B63CE"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While the Strategy provides for the possible development of pumped storage capacities and other energy storage forms, the SEA Report does not speci</w:t>
            </w:r>
            <w:r w:rsidR="002247C0">
              <w:rPr>
                <w:rFonts w:ascii="Times New Roman" w:hAnsi="Times New Roman" w:cs="Times New Roman"/>
                <w:sz w:val="22"/>
                <w:szCs w:val="22"/>
              </w:rPr>
              <w:t>fy</w:t>
            </w:r>
            <w:r w:rsidRPr="002B63CE">
              <w:rPr>
                <w:rFonts w:ascii="Times New Roman" w:hAnsi="Times New Roman" w:cs="Times New Roman"/>
                <w:sz w:val="22"/>
                <w:szCs w:val="22"/>
              </w:rPr>
              <w:t xml:space="preserve"> their potential locations and impacts on the water balance of the Dniester basin.</w:t>
            </w:r>
          </w:p>
        </w:tc>
        <w:tc>
          <w:tcPr>
            <w:tcW w:w="4961" w:type="dxa"/>
          </w:tcPr>
          <w:p w14:paraId="0A54D792" w14:textId="77777777" w:rsidR="00D17F93" w:rsidRPr="00D17F93" w:rsidRDefault="00D17F93" w:rsidP="00D17F93">
            <w:pPr>
              <w:jc w:val="both"/>
              <w:rPr>
                <w:rFonts w:ascii="Times New Roman" w:hAnsi="Times New Roman" w:cs="Times New Roman"/>
                <w:sz w:val="22"/>
                <w:szCs w:val="22"/>
              </w:rPr>
            </w:pPr>
            <w:r w:rsidRPr="00D17F93">
              <w:rPr>
                <w:rFonts w:ascii="Times New Roman" w:hAnsi="Times New Roman" w:cs="Times New Roman"/>
                <w:sz w:val="22"/>
                <w:szCs w:val="22"/>
              </w:rPr>
              <w:lastRenderedPageBreak/>
              <w:t>The three energy facilities located in the middle reach of the Dniester River are situated in the Transnistrian region, which is not under the effective control of the constitutional authorities of the Republic of Moldova. As a result, the Government does not exercise operational control over these installations, and strategic planning documents cannot impose technical or operational measures on infrastructure outside its effective jurisdiction. This significantly constrains the extent to which national strategic documents can directly address operational aspects of those facilities.</w:t>
            </w:r>
          </w:p>
          <w:p w14:paraId="73DEBEDF" w14:textId="77777777" w:rsidR="00D17F93" w:rsidRPr="00D17F93" w:rsidRDefault="00D17F93" w:rsidP="00D17F93">
            <w:pPr>
              <w:jc w:val="both"/>
              <w:rPr>
                <w:rFonts w:ascii="Times New Roman" w:hAnsi="Times New Roman" w:cs="Times New Roman"/>
                <w:sz w:val="22"/>
                <w:szCs w:val="22"/>
              </w:rPr>
            </w:pPr>
          </w:p>
          <w:p w14:paraId="0110C826" w14:textId="434D721D" w:rsidR="0037227E" w:rsidRPr="002B63CE" w:rsidRDefault="00D17F93" w:rsidP="00D17F93">
            <w:pPr>
              <w:jc w:val="both"/>
              <w:rPr>
                <w:rFonts w:ascii="Times New Roman" w:hAnsi="Times New Roman" w:cs="Times New Roman"/>
                <w:sz w:val="22"/>
                <w:szCs w:val="22"/>
              </w:rPr>
            </w:pPr>
            <w:r w:rsidRPr="00D17F93">
              <w:rPr>
                <w:rFonts w:ascii="Times New Roman" w:hAnsi="Times New Roman" w:cs="Times New Roman"/>
                <w:sz w:val="22"/>
                <w:szCs w:val="22"/>
              </w:rPr>
              <w:t xml:space="preserve">Finally, while hydropower installations may indeed contribute to peak and emergency capacity regulation, </w:t>
            </w:r>
            <w:r w:rsidRPr="00D17F93">
              <w:rPr>
                <w:rFonts w:ascii="Times New Roman" w:hAnsi="Times New Roman" w:cs="Times New Roman"/>
                <w:sz w:val="22"/>
                <w:szCs w:val="22"/>
              </w:rPr>
              <w:lastRenderedPageBreak/>
              <w:t>system stabilisation, certain aspects of flood management and climate adaptation, it is important to distinguish between energy policy instruments and integrated river basin management frameworks. Flood protection, water allocation and long-term climate resilience are governed primarily through water management policies and bilateral arrangements. The Energy Strategy and its SEA appropriately reflect this division of competences.</w:t>
            </w:r>
            <w:r w:rsidR="0037227E">
              <w:rPr>
                <w:rFonts w:ascii="Times New Roman" w:hAnsi="Times New Roman" w:cs="Times New Roman"/>
                <w:sz w:val="22"/>
                <w:szCs w:val="22"/>
              </w:rPr>
              <w:t>Modification have been made in the Sections 3.3.2, 8.2</w:t>
            </w:r>
          </w:p>
        </w:tc>
      </w:tr>
      <w:tr w:rsidR="00903180" w:rsidRPr="002B63CE" w14:paraId="20A998CF" w14:textId="77777777" w:rsidTr="00D17F93">
        <w:tc>
          <w:tcPr>
            <w:tcW w:w="611" w:type="dxa"/>
          </w:tcPr>
          <w:p w14:paraId="1DC19305" w14:textId="6D5E5791" w:rsidR="00903180" w:rsidRPr="002B63CE" w:rsidRDefault="00903180">
            <w:pPr>
              <w:rPr>
                <w:rFonts w:ascii="Times New Roman" w:hAnsi="Times New Roman" w:cs="Times New Roman"/>
                <w:sz w:val="22"/>
                <w:szCs w:val="22"/>
              </w:rPr>
            </w:pPr>
            <w:r w:rsidRPr="002B63CE">
              <w:rPr>
                <w:rFonts w:ascii="Times New Roman" w:hAnsi="Times New Roman" w:cs="Times New Roman"/>
                <w:sz w:val="22"/>
                <w:szCs w:val="22"/>
              </w:rPr>
              <w:lastRenderedPageBreak/>
              <w:t>3</w:t>
            </w:r>
          </w:p>
        </w:tc>
        <w:tc>
          <w:tcPr>
            <w:tcW w:w="7464" w:type="dxa"/>
          </w:tcPr>
          <w:p w14:paraId="283709F9" w14:textId="77777777" w:rsidR="00903180"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Insufficient identification of specific energy facilities and their impacts (Sections 3.3.2, 3.4.3,8, 11)</w:t>
            </w:r>
            <w:r>
              <w:rPr>
                <w:rFonts w:ascii="Times New Roman" w:hAnsi="Times New Roman" w:cs="Times New Roman"/>
                <w:sz w:val="22"/>
                <w:szCs w:val="22"/>
              </w:rPr>
              <w:t>.</w:t>
            </w:r>
          </w:p>
          <w:p w14:paraId="20A43AB9"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In the middle reach of the Dniester River, three energy facilities operate with a total installed capacity of 2,599 MW:</w:t>
            </w:r>
          </w:p>
          <w:p w14:paraId="1C0DE8A3" w14:textId="61B61082"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Moldavskaya GRES (Dnestrovsk) -2520 MW; </w:t>
            </w:r>
          </w:p>
          <w:p w14:paraId="6C65A9C9" w14:textId="132F63A2"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Dubossary Hydropower Plant - 48 MW; </w:t>
            </w:r>
          </w:p>
          <w:p w14:paraId="203FBEA0"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TPP of the enterprise "Tirotex" - 31,3 MW.</w:t>
            </w:r>
          </w:p>
          <w:p w14:paraId="506FF2DA" w14:textId="77777777" w:rsidR="002B63CE" w:rsidRDefault="002B63CE" w:rsidP="002B63CE">
            <w:pPr>
              <w:jc w:val="both"/>
              <w:rPr>
                <w:rFonts w:ascii="Times New Roman" w:hAnsi="Times New Roman" w:cs="Times New Roman"/>
                <w:sz w:val="22"/>
                <w:szCs w:val="22"/>
              </w:rPr>
            </w:pPr>
          </w:p>
          <w:p w14:paraId="167D2E1C"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Despite the scale and systemic importance of these facilities, the SEA Report does not provide an adequate assessment of their cumulative and individual impacts on the Dniester River in the transboundary context, in particular: </w:t>
            </w:r>
          </w:p>
          <w:p w14:paraId="7C305D26" w14:textId="71C465AA"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analysis of the impact of Moldavskaya GRES and TPP "Tirotex" on the ecological and chemical status of surface water bodies in the basin; </w:t>
            </w:r>
          </w:p>
          <w:p w14:paraId="79F1E435" w14:textId="4FCCBB0A"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assessment of the effects of operational regimes of the Dubossary HPP on hydrological changes downstream; </w:t>
            </w:r>
          </w:p>
          <w:p w14:paraId="5D566709" w14:textId="56BBB3E9"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consideration of daily and weekly flow fluctuations and their ecological consequenc es downs tr eam; </w:t>
            </w:r>
          </w:p>
          <w:p w14:paraId="46185D5E" w14:textId="2FC2C042"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analysis of possible constraints on manoeuvrability and peak load coverage regimes of Dubossary HPP and the Dniester PSP in Ukraine; </w:t>
            </w:r>
          </w:p>
          <w:p w14:paraId="350CF3F2" w14:textId="4CF74B80"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assessment of the cumulative effect of these facilities in combination with Ukrainian hydropower facilities of the Dniester Integrated Hydropower Complex; </w:t>
            </w:r>
          </w:p>
          <w:p w14:paraId="7C90CC83" w14:textId="5A02B600"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 no consideration of environmental flow regimes in the transboundary context; </w:t>
            </w:r>
          </w:p>
          <w:p w14:paraId="2631F86A" w14:textId="4CA54D3C" w:rsidR="002B63CE"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no consideration of the possibility of reconstruction of the Dubossary HPP with regard to fish passage facilities and sediment management.</w:t>
            </w:r>
          </w:p>
        </w:tc>
        <w:tc>
          <w:tcPr>
            <w:tcW w:w="4961" w:type="dxa"/>
          </w:tcPr>
          <w:p w14:paraId="0C522E8A" w14:textId="77777777" w:rsidR="00D17F93" w:rsidRPr="00D17F93" w:rsidRDefault="00D17F93" w:rsidP="00D17F93">
            <w:pPr>
              <w:jc w:val="both"/>
              <w:rPr>
                <w:rFonts w:ascii="Times New Roman" w:hAnsi="Times New Roman" w:cs="Times New Roman"/>
                <w:sz w:val="22"/>
                <w:szCs w:val="22"/>
              </w:rPr>
            </w:pPr>
            <w:r w:rsidRPr="00D17F93">
              <w:rPr>
                <w:rFonts w:ascii="Times New Roman" w:hAnsi="Times New Roman" w:cs="Times New Roman"/>
                <w:sz w:val="22"/>
                <w:szCs w:val="22"/>
              </w:rPr>
              <w:t>The three energy facilities located in the middle reach of the Dniester River are situated in the Transnistrian region, which is not under the effective control of the constitutional authorities of the Republic of Moldova. As a result, the Government does not exercise operational control over these installations, and strategic planning documents cannot impose technical or operational measures on infrastructure outside its effective jurisdiction. This significantly constrains the extent to which national strategic documents can directly address operational aspects of those facilities.</w:t>
            </w:r>
          </w:p>
          <w:p w14:paraId="47D016C9" w14:textId="77777777" w:rsidR="00D17F93" w:rsidRPr="00D17F93" w:rsidRDefault="00D17F93" w:rsidP="00D17F93">
            <w:pPr>
              <w:jc w:val="both"/>
              <w:rPr>
                <w:rFonts w:ascii="Times New Roman" w:hAnsi="Times New Roman" w:cs="Times New Roman"/>
                <w:sz w:val="22"/>
                <w:szCs w:val="22"/>
              </w:rPr>
            </w:pPr>
          </w:p>
          <w:p w14:paraId="6613CCED" w14:textId="4602B590" w:rsidR="00C25B82" w:rsidRPr="002B63CE" w:rsidRDefault="00C25B82" w:rsidP="00D17F93">
            <w:pPr>
              <w:jc w:val="both"/>
              <w:rPr>
                <w:rFonts w:ascii="Times New Roman" w:hAnsi="Times New Roman" w:cs="Times New Roman"/>
                <w:sz w:val="22"/>
                <w:szCs w:val="22"/>
              </w:rPr>
            </w:pPr>
          </w:p>
        </w:tc>
      </w:tr>
      <w:tr w:rsidR="00903180" w:rsidRPr="002B63CE" w14:paraId="57FA63C3" w14:textId="77777777" w:rsidTr="00D17F93">
        <w:tc>
          <w:tcPr>
            <w:tcW w:w="611" w:type="dxa"/>
          </w:tcPr>
          <w:p w14:paraId="61002081" w14:textId="5C3D013C" w:rsidR="00903180" w:rsidRPr="002B63CE" w:rsidRDefault="002B63CE" w:rsidP="006F439C">
            <w:pPr>
              <w:rPr>
                <w:rFonts w:ascii="Times New Roman" w:hAnsi="Times New Roman" w:cs="Times New Roman"/>
                <w:sz w:val="22"/>
                <w:szCs w:val="22"/>
              </w:rPr>
            </w:pPr>
            <w:r>
              <w:rPr>
                <w:rFonts w:ascii="Times New Roman" w:hAnsi="Times New Roman" w:cs="Times New Roman"/>
                <w:sz w:val="22"/>
                <w:szCs w:val="22"/>
              </w:rPr>
              <w:t>4</w:t>
            </w:r>
          </w:p>
        </w:tc>
        <w:tc>
          <w:tcPr>
            <w:tcW w:w="7464" w:type="dxa"/>
          </w:tcPr>
          <w:p w14:paraId="191439A9" w14:textId="163D57A6" w:rsidR="00903180"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Insufficient consideration of international obligations in the field of transboundary waters (Section 6 "Environmental protection obj ectives")</w:t>
            </w:r>
            <w:r>
              <w:rPr>
                <w:rFonts w:ascii="Times New Roman" w:hAnsi="Times New Roman" w:cs="Times New Roman"/>
                <w:sz w:val="22"/>
                <w:szCs w:val="22"/>
              </w:rPr>
              <w:t>.</w:t>
            </w:r>
          </w:p>
          <w:p w14:paraId="369F8274"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lastRenderedPageBreak/>
              <w:t xml:space="preserve">The SEA Report insufficiently reflects the requirements of the EU Water Framework Directive and the principles of integrated management of transboundary water resources. </w:t>
            </w:r>
          </w:p>
          <w:p w14:paraId="5CEBCF00" w14:textId="4A584017" w:rsidR="002B63CE"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Although alignment with EU environmental objectives is declared, the issue of achieving "good" ecological status of waters is not sufficiently elaborated from the perspective of transboundary river basins.</w:t>
            </w:r>
          </w:p>
        </w:tc>
        <w:tc>
          <w:tcPr>
            <w:tcW w:w="4961" w:type="dxa"/>
          </w:tcPr>
          <w:p w14:paraId="38935CB9" w14:textId="77777777" w:rsidR="00A9317D" w:rsidRPr="00A9317D" w:rsidRDefault="00A9317D" w:rsidP="00A9317D">
            <w:pPr>
              <w:jc w:val="both"/>
              <w:rPr>
                <w:rFonts w:ascii="Times New Roman" w:hAnsi="Times New Roman" w:cs="Times New Roman"/>
                <w:sz w:val="22"/>
                <w:szCs w:val="22"/>
                <w:lang w:val="en-US"/>
              </w:rPr>
            </w:pPr>
            <w:r w:rsidRPr="00A9317D">
              <w:rPr>
                <w:rFonts w:ascii="Times New Roman" w:hAnsi="Times New Roman" w:cs="Times New Roman"/>
                <w:sz w:val="22"/>
                <w:szCs w:val="22"/>
                <w:lang w:val="en-US"/>
              </w:rPr>
              <w:lastRenderedPageBreak/>
              <w:t xml:space="preserve">The Ministry acknowledges the importance of ensuring consistency with the EU Water Framework </w:t>
            </w:r>
            <w:r w:rsidRPr="00A9317D">
              <w:rPr>
                <w:rFonts w:ascii="Times New Roman" w:hAnsi="Times New Roman" w:cs="Times New Roman"/>
                <w:sz w:val="22"/>
                <w:szCs w:val="22"/>
                <w:lang w:val="en-US"/>
              </w:rPr>
              <w:lastRenderedPageBreak/>
              <w:t>Directive (2000/60/EC) and the principles of integrated river basin management.</w:t>
            </w:r>
          </w:p>
          <w:p w14:paraId="085901BF" w14:textId="77777777" w:rsidR="00A9317D" w:rsidRPr="00A9317D" w:rsidRDefault="00A9317D" w:rsidP="00A9317D">
            <w:pPr>
              <w:jc w:val="both"/>
              <w:rPr>
                <w:rFonts w:ascii="Times New Roman" w:hAnsi="Times New Roman" w:cs="Times New Roman"/>
                <w:sz w:val="22"/>
                <w:szCs w:val="22"/>
                <w:lang w:val="en-US"/>
              </w:rPr>
            </w:pPr>
            <w:r w:rsidRPr="00A9317D">
              <w:rPr>
                <w:rFonts w:ascii="Times New Roman" w:hAnsi="Times New Roman" w:cs="Times New Roman"/>
                <w:sz w:val="22"/>
                <w:szCs w:val="22"/>
                <w:lang w:val="en-US"/>
              </w:rPr>
              <w:t>The SEA Report reflects alignment with EU environmental objectives at a strategic level. Detailed implementation of the “good ecological status” objective is primarily addressed through river basin management planning instruments under the water governance framework.</w:t>
            </w:r>
          </w:p>
          <w:p w14:paraId="5D71208B" w14:textId="6ED3B60D" w:rsidR="00825F30" w:rsidRPr="00A9317D" w:rsidRDefault="00825F30" w:rsidP="00A9317D">
            <w:pPr>
              <w:jc w:val="both"/>
              <w:rPr>
                <w:rFonts w:ascii="Times New Roman" w:hAnsi="Times New Roman" w:cs="Times New Roman"/>
                <w:sz w:val="22"/>
                <w:szCs w:val="22"/>
                <w:lang w:val="en-US"/>
              </w:rPr>
            </w:pPr>
          </w:p>
        </w:tc>
      </w:tr>
      <w:tr w:rsidR="00903180" w:rsidRPr="002B63CE" w14:paraId="16A37872" w14:textId="77777777" w:rsidTr="00D17F93">
        <w:tc>
          <w:tcPr>
            <w:tcW w:w="611" w:type="dxa"/>
          </w:tcPr>
          <w:p w14:paraId="3BD225ED" w14:textId="04D20FE2" w:rsidR="00903180" w:rsidRPr="002B63CE" w:rsidRDefault="002B63CE" w:rsidP="006F439C">
            <w:pPr>
              <w:rPr>
                <w:rFonts w:ascii="Times New Roman" w:hAnsi="Times New Roman" w:cs="Times New Roman"/>
                <w:sz w:val="22"/>
                <w:szCs w:val="22"/>
              </w:rPr>
            </w:pPr>
            <w:r>
              <w:rPr>
                <w:rFonts w:ascii="Times New Roman" w:hAnsi="Times New Roman" w:cs="Times New Roman"/>
                <w:sz w:val="22"/>
                <w:szCs w:val="22"/>
              </w:rPr>
              <w:lastRenderedPageBreak/>
              <w:t>5</w:t>
            </w:r>
          </w:p>
        </w:tc>
        <w:tc>
          <w:tcPr>
            <w:tcW w:w="7464" w:type="dxa"/>
          </w:tcPr>
          <w:p w14:paraId="0139DE09"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Shortcomings of the monitoring and post-project control system (Section 12 "Measures envisaged to monitor the significant effects of implementation") </w:t>
            </w:r>
          </w:p>
          <w:p w14:paraId="23A9EBD2" w14:textId="77777777"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xml:space="preserve">The proposed monitoring system does not adequately take into account the specific nature of transboundary impacts of energy facilities in the Dniester River basin. In view of the above, it is recommended to: </w:t>
            </w:r>
          </w:p>
          <w:p w14:paraId="582DEB25" w14:textId="74A2C69A" w:rsid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include hydrological, temperature and ecological indicators;</w:t>
            </w:r>
          </w:p>
          <w:p w14:paraId="0805D921" w14:textId="58A8A0CE" w:rsidR="00713DB0" w:rsidRPr="002B63CE" w:rsidRDefault="002B63CE" w:rsidP="002B63CE">
            <w:pPr>
              <w:jc w:val="both"/>
              <w:rPr>
                <w:rFonts w:ascii="Times New Roman" w:hAnsi="Times New Roman" w:cs="Times New Roman"/>
                <w:sz w:val="22"/>
                <w:szCs w:val="22"/>
              </w:rPr>
            </w:pPr>
            <w:r w:rsidRPr="002B63CE">
              <w:rPr>
                <w:rFonts w:ascii="Times New Roman" w:hAnsi="Times New Roman" w:cs="Times New Roman"/>
                <w:sz w:val="22"/>
                <w:szCs w:val="22"/>
              </w:rPr>
              <w:t>- provide for regular transboundary consultations in the event that negative trends are identified.</w:t>
            </w:r>
          </w:p>
        </w:tc>
        <w:tc>
          <w:tcPr>
            <w:tcW w:w="4961" w:type="dxa"/>
          </w:tcPr>
          <w:p w14:paraId="50D2EBF9" w14:textId="77777777" w:rsidR="00903180" w:rsidRDefault="00A9317D" w:rsidP="00A9317D">
            <w:pPr>
              <w:jc w:val="both"/>
              <w:rPr>
                <w:rFonts w:ascii="Times New Roman" w:hAnsi="Times New Roman" w:cs="Times New Roman"/>
                <w:sz w:val="22"/>
                <w:szCs w:val="22"/>
              </w:rPr>
            </w:pPr>
            <w:r w:rsidRPr="00A9317D">
              <w:rPr>
                <w:rFonts w:ascii="Times New Roman" w:hAnsi="Times New Roman" w:cs="Times New Roman"/>
                <w:sz w:val="22"/>
                <w:szCs w:val="22"/>
              </w:rPr>
              <w:t>The SEA monitoring framework has been designed at a strategic level and focuses on key environmental indicators.</w:t>
            </w:r>
          </w:p>
          <w:p w14:paraId="63678D45" w14:textId="6E134628" w:rsidR="00A9317D" w:rsidRPr="002B63CE" w:rsidRDefault="00A9317D" w:rsidP="00A9317D">
            <w:pPr>
              <w:jc w:val="both"/>
              <w:rPr>
                <w:rFonts w:ascii="Times New Roman" w:hAnsi="Times New Roman" w:cs="Times New Roman"/>
                <w:sz w:val="22"/>
                <w:szCs w:val="22"/>
              </w:rPr>
            </w:pPr>
            <w:r>
              <w:rPr>
                <w:rFonts w:ascii="Times New Roman" w:hAnsi="Times New Roman" w:cs="Times New Roman"/>
                <w:sz w:val="22"/>
                <w:szCs w:val="22"/>
              </w:rPr>
              <w:t>Modification have been made in the Sections 12</w:t>
            </w:r>
          </w:p>
        </w:tc>
      </w:tr>
      <w:tr w:rsidR="00903180" w:rsidRPr="002B63CE" w14:paraId="523D52B0" w14:textId="77777777" w:rsidTr="00D17F93">
        <w:tc>
          <w:tcPr>
            <w:tcW w:w="611" w:type="dxa"/>
          </w:tcPr>
          <w:p w14:paraId="185061DE" w14:textId="2B428D00" w:rsidR="00903180" w:rsidRPr="002B63CE" w:rsidRDefault="002B63CE" w:rsidP="006F439C">
            <w:pPr>
              <w:rPr>
                <w:rFonts w:ascii="Times New Roman" w:hAnsi="Times New Roman" w:cs="Times New Roman"/>
                <w:sz w:val="22"/>
                <w:szCs w:val="22"/>
              </w:rPr>
            </w:pPr>
            <w:r w:rsidRPr="002B63CE">
              <w:rPr>
                <w:rFonts w:ascii="Times New Roman" w:hAnsi="Times New Roman" w:cs="Times New Roman"/>
                <w:sz w:val="22"/>
                <w:szCs w:val="22"/>
              </w:rPr>
              <w:t>6.</w:t>
            </w:r>
          </w:p>
        </w:tc>
        <w:tc>
          <w:tcPr>
            <w:tcW w:w="7464" w:type="dxa"/>
          </w:tcPr>
          <w:p w14:paraId="62E99436" w14:textId="77777777" w:rsidR="00903180" w:rsidRDefault="002B63CE" w:rsidP="006F439C">
            <w:pPr>
              <w:rPr>
                <w:rFonts w:ascii="Times New Roman" w:hAnsi="Times New Roman" w:cs="Times New Roman"/>
                <w:sz w:val="22"/>
                <w:szCs w:val="22"/>
              </w:rPr>
            </w:pPr>
            <w:r w:rsidRPr="002B63CE">
              <w:rPr>
                <w:rFonts w:ascii="Times New Roman" w:hAnsi="Times New Roman" w:cs="Times New Roman"/>
                <w:sz w:val="22"/>
                <w:szCs w:val="22"/>
              </w:rPr>
              <w:t>Issues requiring clarification in the SEA Report</w:t>
            </w:r>
          </w:p>
          <w:p w14:paraId="7582EECF" w14:textId="77777777" w:rsidR="00F44B7F" w:rsidRDefault="00F44B7F" w:rsidP="006F439C">
            <w:pPr>
              <w:rPr>
                <w:rFonts w:ascii="Times New Roman" w:hAnsi="Times New Roman" w:cs="Times New Roman"/>
                <w:sz w:val="22"/>
                <w:szCs w:val="22"/>
              </w:rPr>
            </w:pPr>
          </w:p>
          <w:p w14:paraId="02FEC8B9" w14:textId="77777777" w:rsidR="00F44B7F" w:rsidRDefault="00F44B7F" w:rsidP="006F439C">
            <w:pPr>
              <w:rPr>
                <w:rFonts w:ascii="Times New Roman" w:hAnsi="Times New Roman" w:cs="Times New Roman"/>
                <w:sz w:val="22"/>
                <w:szCs w:val="22"/>
              </w:rPr>
            </w:pPr>
          </w:p>
          <w:p w14:paraId="23CAF82D" w14:textId="77777777" w:rsidR="00F44B7F" w:rsidRDefault="00F44B7F" w:rsidP="006F439C">
            <w:pPr>
              <w:rPr>
                <w:rFonts w:ascii="Times New Roman" w:hAnsi="Times New Roman" w:cs="Times New Roman"/>
                <w:sz w:val="22"/>
                <w:szCs w:val="22"/>
              </w:rPr>
            </w:pPr>
          </w:p>
          <w:p w14:paraId="4F76D959" w14:textId="77777777" w:rsidR="00F44B7F" w:rsidRDefault="00F44B7F" w:rsidP="006F439C">
            <w:pPr>
              <w:rPr>
                <w:rFonts w:ascii="Times New Roman" w:hAnsi="Times New Roman" w:cs="Times New Roman"/>
                <w:sz w:val="22"/>
                <w:szCs w:val="22"/>
              </w:rPr>
            </w:pPr>
          </w:p>
          <w:p w14:paraId="634177DE" w14:textId="77777777" w:rsidR="00F44B7F" w:rsidRDefault="00F44B7F" w:rsidP="006F439C">
            <w:pPr>
              <w:rPr>
                <w:rFonts w:ascii="Times New Roman" w:hAnsi="Times New Roman" w:cs="Times New Roman"/>
                <w:sz w:val="22"/>
                <w:szCs w:val="22"/>
              </w:rPr>
            </w:pPr>
          </w:p>
          <w:p w14:paraId="5B42E254" w14:textId="77777777" w:rsidR="00F44B7F" w:rsidRDefault="00F44B7F" w:rsidP="006F439C">
            <w:pPr>
              <w:rPr>
                <w:rFonts w:ascii="Times New Roman" w:hAnsi="Times New Roman" w:cs="Times New Roman"/>
                <w:sz w:val="22"/>
                <w:szCs w:val="22"/>
              </w:rPr>
            </w:pPr>
          </w:p>
          <w:p w14:paraId="601CFC01" w14:textId="77777777" w:rsidR="00F44B7F" w:rsidRDefault="00F44B7F" w:rsidP="006F439C">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661"/>
              <w:gridCol w:w="3577"/>
            </w:tblGrid>
            <w:tr w:rsidR="002B63CE" w14:paraId="549E19CB" w14:textId="77777777" w:rsidTr="002B63CE">
              <w:tc>
                <w:tcPr>
                  <w:tcW w:w="4158" w:type="dxa"/>
                </w:tcPr>
                <w:p w14:paraId="597AE9CF" w14:textId="6EA079E5"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Table 1. List of General Objectives of the ESRM 2025-2050 with Priority Directions, (p.16) 1.6. Ensuring 90% of local energy consumption from local sources. </w:t>
                  </w:r>
                  <w:r w:rsidR="002C6350">
                    <w:rPr>
                      <w:rFonts w:ascii="Times New Roman" w:hAnsi="Times New Roman" w:cs="Times New Roman"/>
                      <w:sz w:val="22"/>
                      <w:szCs w:val="22"/>
                    </w:rPr>
                    <w:t>(p</w:t>
                  </w:r>
                  <w:r w:rsidRPr="00051A7C">
                    <w:rPr>
                      <w:rFonts w:ascii="Times New Roman" w:hAnsi="Times New Roman" w:cs="Times New Roman"/>
                      <w:sz w:val="22"/>
                      <w:szCs w:val="22"/>
                    </w:rPr>
                    <w:t>.24) - The need to ensure 90% of electricity consumption from local sources</w:t>
                  </w:r>
                  <w:r w:rsidR="002C6350">
                    <w:rPr>
                      <w:rFonts w:ascii="Times New Roman" w:hAnsi="Times New Roman" w:cs="Times New Roman"/>
                      <w:sz w:val="22"/>
                      <w:szCs w:val="22"/>
                    </w:rPr>
                    <w:t>.</w:t>
                  </w:r>
                </w:p>
              </w:tc>
              <w:tc>
                <w:tcPr>
                  <w:tcW w:w="4159" w:type="dxa"/>
                </w:tcPr>
                <w:p w14:paraId="5B688AB5" w14:textId="7F63C49F"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For the purpose of unambiguous interpretation, it is recommended to clari</w:t>
                  </w:r>
                  <w:r w:rsidR="002C6350">
                    <w:rPr>
                      <w:rFonts w:ascii="Times New Roman" w:hAnsi="Times New Roman" w:cs="Times New Roman"/>
                      <w:sz w:val="22"/>
                      <w:szCs w:val="22"/>
                    </w:rPr>
                    <w:t>fy</w:t>
                  </w:r>
                  <w:r w:rsidRPr="00051A7C">
                    <w:rPr>
                      <w:rFonts w:ascii="Times New Roman" w:hAnsi="Times New Roman" w:cs="Times New Roman"/>
                      <w:sz w:val="22"/>
                      <w:szCs w:val="22"/>
                    </w:rPr>
                    <w:t xml:space="preserve"> whether the 90</w:t>
                  </w:r>
                  <w:r w:rsidR="002C6350" w:rsidRPr="00051A7C">
                    <w:rPr>
                      <w:rFonts w:ascii="Times New Roman" w:hAnsi="Times New Roman" w:cs="Times New Roman"/>
                      <w:sz w:val="22"/>
                      <w:szCs w:val="22"/>
                    </w:rPr>
                    <w:t>%</w:t>
                  </w:r>
                  <w:r w:rsidRPr="00051A7C">
                    <w:rPr>
                      <w:rFonts w:ascii="Times New Roman" w:hAnsi="Times New Roman" w:cs="Times New Roman"/>
                      <w:sz w:val="22"/>
                      <w:szCs w:val="22"/>
                    </w:rPr>
                    <w:t xml:space="preserve"> target applies to overall energy consumption (including heat and transport energy use) or exclusively to electricity consumption.</w:t>
                  </w:r>
                </w:p>
              </w:tc>
            </w:tr>
            <w:tr w:rsidR="002B63CE" w14:paraId="11F300B5" w14:textId="77777777" w:rsidTr="002B63CE">
              <w:tc>
                <w:tcPr>
                  <w:tcW w:w="4158" w:type="dxa"/>
                </w:tcPr>
                <w:p w14:paraId="50506AFE" w14:textId="589B247C"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Table 2. Synergy in the context of the PNIEC 2025-2030 and ESRM 2025- 2050 regarding policies, measures and indicators, (p.24) Priority Direction 4.2 </w:t>
                  </w:r>
                  <w:r w:rsidRPr="00051A7C">
                    <w:rPr>
                      <w:rFonts w:ascii="Times New Roman" w:hAnsi="Times New Roman" w:cs="Times New Roman"/>
                      <w:sz w:val="22"/>
                      <w:szCs w:val="22"/>
                    </w:rPr>
                    <w:lastRenderedPageBreak/>
                    <w:t>- By 2050, at least 80% of electricity production must be from renewable sources (solar, wind, biomass, biogas, waste, etc.)</w:t>
                  </w:r>
                </w:p>
              </w:tc>
              <w:tc>
                <w:tcPr>
                  <w:tcW w:w="4159" w:type="dxa"/>
                </w:tcPr>
                <w:p w14:paraId="382581D8" w14:textId="14ADAFFA" w:rsidR="002B63CE" w:rsidRDefault="0043161E" w:rsidP="00051A7C">
                  <w:pPr>
                    <w:jc w:val="both"/>
                    <w:rPr>
                      <w:rFonts w:ascii="Times New Roman" w:hAnsi="Times New Roman" w:cs="Times New Roman"/>
                      <w:sz w:val="22"/>
                      <w:szCs w:val="22"/>
                    </w:rPr>
                  </w:pPr>
                  <w:r w:rsidRPr="0043161E">
                    <w:rPr>
                      <w:rFonts w:ascii="Times New Roman" w:hAnsi="Times New Roman" w:cs="Times New Roman"/>
                      <w:sz w:val="22"/>
                      <w:szCs w:val="22"/>
                    </w:rPr>
                    <w:lastRenderedPageBreak/>
                    <w:t xml:space="preserve">In the Energy Strategy (p. 87) it is stated that "by 2050 at least 85% of electricity production must be from renewable sources." The indicated </w:t>
                  </w:r>
                  <w:r w:rsidRPr="0043161E">
                    <w:rPr>
                      <w:rFonts w:ascii="Times New Roman" w:hAnsi="Times New Roman" w:cs="Times New Roman"/>
                      <w:sz w:val="22"/>
                      <w:szCs w:val="22"/>
                    </w:rPr>
                    <w:lastRenderedPageBreak/>
                    <w:t>data in the SEA Report and in the Energy Strategy require harmonisation.</w:t>
                  </w:r>
                </w:p>
              </w:tc>
            </w:tr>
            <w:tr w:rsidR="002B63CE" w14:paraId="51B53662" w14:textId="77777777" w:rsidTr="002B63CE">
              <w:tc>
                <w:tcPr>
                  <w:tcW w:w="4158" w:type="dxa"/>
                </w:tcPr>
                <w:p w14:paraId="5D160B48" w14:textId="77777777"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lastRenderedPageBreak/>
                    <w:t>Table 2. Synergy in the context of the PNIEC 2025-2030 and ESRM 2025- 2050 regarding policies, measures and indicators, (p.24) By 2050, these capacities must increase to 2,600 MW in the case of wind power plants and 1,200 MW of solar power plants.</w:t>
                  </w:r>
                </w:p>
                <w:p w14:paraId="05E1C864" w14:textId="77777777" w:rsidR="0043161E" w:rsidRDefault="0043161E" w:rsidP="00051A7C">
                  <w:pPr>
                    <w:jc w:val="both"/>
                    <w:rPr>
                      <w:rFonts w:ascii="Times New Roman" w:hAnsi="Times New Roman" w:cs="Times New Roman"/>
                      <w:sz w:val="22"/>
                      <w:szCs w:val="22"/>
                    </w:rPr>
                  </w:pPr>
                </w:p>
                <w:p w14:paraId="326ECCF0" w14:textId="258A9572" w:rsidR="0043161E" w:rsidRDefault="0043161E" w:rsidP="00051A7C">
                  <w:pPr>
                    <w:jc w:val="both"/>
                    <w:rPr>
                      <w:rFonts w:ascii="Times New Roman" w:hAnsi="Times New Roman" w:cs="Times New Roman"/>
                      <w:sz w:val="22"/>
                      <w:szCs w:val="22"/>
                    </w:rPr>
                  </w:pPr>
                </w:p>
              </w:tc>
              <w:tc>
                <w:tcPr>
                  <w:tcW w:w="4159" w:type="dxa"/>
                </w:tcPr>
                <w:p w14:paraId="5FB8DAF8" w14:textId="5DFEE8A8"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According to scenario modelling (Table 3, p. 26), installed capacity in 2050 will amount to: Wind - 3074 MW; solar - 561 MW.</w:t>
                  </w:r>
                </w:p>
              </w:tc>
            </w:tr>
            <w:tr w:rsidR="002B63CE" w14:paraId="3CA0E27C" w14:textId="77777777" w:rsidTr="002B63CE">
              <w:tc>
                <w:tcPr>
                  <w:tcW w:w="4158" w:type="dxa"/>
                </w:tcPr>
                <w:p w14:paraId="09B5FC03" w14:textId="25670E4E"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Table 2. Synergy in the context of the PNIEC 2025-2030 and ESRM 2025- 2050 regarding policies, measures and indicators, (p.25)</w:t>
                  </w:r>
                </w:p>
                <w:p w14:paraId="628A6A30" w14:textId="634B78D8"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Priority Direction 4.9 - Modal shift</w:t>
                  </w:r>
                  <w:r>
                    <w:rPr>
                      <w:rFonts w:ascii="Times New Roman" w:hAnsi="Times New Roman" w:cs="Times New Roman"/>
                      <w:sz w:val="22"/>
                      <w:szCs w:val="22"/>
                    </w:rPr>
                    <w:t xml:space="preserve"> </w:t>
                  </w:r>
                  <w:r w:rsidRPr="00051A7C">
                    <w:rPr>
                      <w:rFonts w:ascii="Times New Roman" w:hAnsi="Times New Roman" w:cs="Times New Roman"/>
                      <w:sz w:val="22"/>
                      <w:szCs w:val="22"/>
                    </w:rPr>
                    <w:t>from road to rail. To reduce energ</w:t>
                  </w:r>
                </w:p>
                <w:p w14:paraId="2FF422B9" w14:textId="4265AA1F"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consumption and specific emissions per tonne-km, Moldova undertakes: </w:t>
                  </w:r>
                  <w:r w:rsidR="00F44B7F">
                    <w:rPr>
                      <w:rFonts w:ascii="Times New Roman" w:hAnsi="Times New Roman" w:cs="Times New Roman"/>
                      <w:sz w:val="22"/>
                      <w:szCs w:val="22"/>
                    </w:rPr>
                    <w:t>30</w:t>
                  </w:r>
                  <w:r w:rsidR="0043161E">
                    <w:rPr>
                      <w:rFonts w:ascii="Times New Roman" w:hAnsi="Times New Roman" w:cs="Times New Roman"/>
                      <w:sz w:val="22"/>
                      <w:szCs w:val="22"/>
                    </w:rPr>
                    <w:t>%</w:t>
                  </w:r>
                  <w:r w:rsidRPr="00051A7C">
                    <w:rPr>
                      <w:rFonts w:ascii="Times New Roman" w:hAnsi="Times New Roman" w:cs="Times New Roman"/>
                      <w:sz w:val="22"/>
                      <w:szCs w:val="22"/>
                    </w:rPr>
                    <w:t xml:space="preserve"> shift. from road to rail b</w:t>
                  </w:r>
                  <w:r w:rsidR="0043161E">
                    <w:rPr>
                      <w:rFonts w:ascii="Times New Roman" w:hAnsi="Times New Roman" w:cs="Times New Roman"/>
                      <w:sz w:val="22"/>
                      <w:szCs w:val="22"/>
                    </w:rPr>
                    <w:t>y</w:t>
                  </w:r>
                  <w:r w:rsidRPr="00051A7C">
                    <w:rPr>
                      <w:rFonts w:ascii="Times New Roman" w:hAnsi="Times New Roman" w:cs="Times New Roman"/>
                      <w:sz w:val="22"/>
                      <w:szCs w:val="22"/>
                    </w:rPr>
                    <w:t xml:space="preserve"> 2050.</w:t>
                  </w:r>
                </w:p>
              </w:tc>
              <w:tc>
                <w:tcPr>
                  <w:tcW w:w="4159" w:type="dxa"/>
                </w:tcPr>
                <w:p w14:paraId="43E4D3DF" w14:textId="4540DBE3"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In the Energy Strategy (p. 91), it is provided that: "283.1.1. at least l5</w:t>
                  </w:r>
                  <w:r w:rsidR="0043161E">
                    <w:rPr>
                      <w:rFonts w:ascii="Times New Roman" w:hAnsi="Times New Roman" w:cs="Times New Roman"/>
                      <w:sz w:val="22"/>
                      <w:szCs w:val="22"/>
                    </w:rPr>
                    <w:t>%</w:t>
                  </w:r>
                  <w:r w:rsidRPr="00051A7C">
                    <w:rPr>
                      <w:rFonts w:ascii="Times New Roman" w:hAnsi="Times New Roman" w:cs="Times New Roman"/>
                      <w:sz w:val="22"/>
                      <w:szCs w:val="22"/>
                    </w:rPr>
                    <w:t xml:space="preserve"> shift from road to rail by 2030, and 30</w:t>
                  </w:r>
                  <w:r w:rsidR="0043161E">
                    <w:rPr>
                      <w:rFonts w:ascii="Times New Roman" w:hAnsi="Times New Roman" w:cs="Times New Roman"/>
                      <w:sz w:val="22"/>
                      <w:szCs w:val="22"/>
                    </w:rPr>
                    <w:t>%</w:t>
                  </w:r>
                  <w:r w:rsidRPr="00051A7C">
                    <w:rPr>
                      <w:rFonts w:ascii="Times New Roman" w:hAnsi="Times New Roman" w:cs="Times New Roman"/>
                      <w:sz w:val="22"/>
                      <w:szCs w:val="22"/>
                    </w:rPr>
                    <w:t xml:space="preserve"> by 2050."</w:t>
                  </w:r>
                </w:p>
              </w:tc>
            </w:tr>
            <w:tr w:rsidR="002B63CE" w14:paraId="3DFEFD84" w14:textId="77777777" w:rsidTr="002B63CE">
              <w:tc>
                <w:tcPr>
                  <w:tcW w:w="4158" w:type="dxa"/>
                </w:tcPr>
                <w:p w14:paraId="031D8C09" w14:textId="5E0D714E"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3</w:t>
                  </w:r>
                  <w:r w:rsidRPr="00413FD6">
                    <w:rPr>
                      <w:rFonts w:ascii="Times New Roman" w:hAnsi="Times New Roman" w:cs="Times New Roman"/>
                      <w:sz w:val="22"/>
                      <w:szCs w:val="22"/>
                    </w:rPr>
                    <w:t>.4.3. Characteristics of the electricity sector ( p.68) At the end of May 2025, the total installed capaci</w:t>
                  </w:r>
                  <w:r w:rsidR="00F44B7F" w:rsidRPr="00413FD6">
                    <w:rPr>
                      <w:rFonts w:ascii="Times New Roman" w:hAnsi="Times New Roman" w:cs="Times New Roman"/>
                      <w:sz w:val="22"/>
                      <w:szCs w:val="22"/>
                    </w:rPr>
                    <w:t>ty</w:t>
                  </w:r>
                  <w:r w:rsidRPr="00413FD6">
                    <w:rPr>
                      <w:rFonts w:ascii="Times New Roman" w:hAnsi="Times New Roman" w:cs="Times New Roman"/>
                      <w:sz w:val="22"/>
                      <w:szCs w:val="22"/>
                    </w:rPr>
                    <w:t xml:space="preserve"> reached 689.17</w:t>
                  </w:r>
                  <w:r w:rsidRPr="00413FD6">
                    <w:t xml:space="preserve"> </w:t>
                  </w:r>
                  <w:r w:rsidRPr="00413FD6">
                    <w:rPr>
                      <w:rFonts w:ascii="Times New Roman" w:hAnsi="Times New Roman" w:cs="Times New Roman"/>
                      <w:sz w:val="22"/>
                      <w:szCs w:val="22"/>
                    </w:rPr>
                    <w:t>MW, marking an increase of 1070,78 MW in the first four months of the year, compared to 2024</w:t>
                  </w:r>
                </w:p>
              </w:tc>
              <w:tc>
                <w:tcPr>
                  <w:tcW w:w="4159" w:type="dxa"/>
                </w:tcPr>
                <w:p w14:paraId="1F91F8B5" w14:textId="0E48B2EB"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This requires clarification, as the increase in capacity cannot exceed the final total installed capacity. It is possible that the </w:t>
                  </w:r>
                  <w:r w:rsidR="00E70A9D">
                    <w:rPr>
                      <w:rFonts w:ascii="Times New Roman" w:hAnsi="Times New Roman" w:cs="Times New Roman"/>
                      <w:sz w:val="22"/>
                      <w:szCs w:val="22"/>
                    </w:rPr>
                    <w:t>int</w:t>
                  </w:r>
                  <w:r w:rsidRPr="00051A7C">
                    <w:rPr>
                      <w:rFonts w:ascii="Times New Roman" w:hAnsi="Times New Roman" w:cs="Times New Roman"/>
                      <w:sz w:val="22"/>
                      <w:szCs w:val="22"/>
                    </w:rPr>
                    <w:t>ended increase was 107,078 MW,</w:t>
                  </w:r>
                  <w:r w:rsidRPr="00051A7C">
                    <w:t xml:space="preserve"> </w:t>
                  </w:r>
                  <w:r w:rsidRPr="00051A7C">
                    <w:rPr>
                      <w:rFonts w:ascii="Times New Roman" w:hAnsi="Times New Roman" w:cs="Times New Roman"/>
                      <w:sz w:val="22"/>
                      <w:szCs w:val="22"/>
                    </w:rPr>
                    <w:t>reaching 689,17 MW.</w:t>
                  </w:r>
                </w:p>
              </w:tc>
            </w:tr>
            <w:tr w:rsidR="002B63CE" w14:paraId="3CBC59A9" w14:textId="77777777" w:rsidTr="002B63CE">
              <w:tc>
                <w:tcPr>
                  <w:tcW w:w="4158" w:type="dxa"/>
                </w:tcPr>
                <w:p w14:paraId="7A507F8D" w14:textId="6DC639CC"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Table 6. ESRM 2025-2050 objectives and current situation in case of nonimplementation</w:t>
                  </w:r>
                </w:p>
              </w:tc>
              <w:tc>
                <w:tcPr>
                  <w:tcW w:w="4159" w:type="dxa"/>
                </w:tcPr>
                <w:p w14:paraId="1EC63E8C" w14:textId="77777777" w:rsidR="002B63CE"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The SEA Report does not sufficiently explain how the proposed measures are transformed into commercially scalable solutions capable of reducing environmental impacts of the energy sector while simultaneously enhancing its investment attractiveness. It would also be </w:t>
                  </w:r>
                  <w:r w:rsidRPr="00051A7C">
                    <w:rPr>
                      <w:rFonts w:ascii="Times New Roman" w:hAnsi="Times New Roman" w:cs="Times New Roman"/>
                      <w:sz w:val="22"/>
                      <w:szCs w:val="22"/>
                    </w:rPr>
                    <w:lastRenderedPageBreak/>
                    <w:t>advisable to specifi financial instruments supporting innovation.</w:t>
                  </w:r>
                </w:p>
                <w:p w14:paraId="7D3A32D0" w14:textId="3FDF92D5" w:rsidR="00E716CA" w:rsidRDefault="00E716CA" w:rsidP="00051A7C">
                  <w:pPr>
                    <w:jc w:val="both"/>
                    <w:rPr>
                      <w:rFonts w:ascii="Times New Roman" w:hAnsi="Times New Roman" w:cs="Times New Roman"/>
                      <w:sz w:val="22"/>
                      <w:szCs w:val="22"/>
                    </w:rPr>
                  </w:pPr>
                </w:p>
              </w:tc>
            </w:tr>
            <w:tr w:rsidR="00051A7C" w14:paraId="431F6225" w14:textId="77777777" w:rsidTr="002B63CE">
              <w:tc>
                <w:tcPr>
                  <w:tcW w:w="4158" w:type="dxa"/>
                </w:tcPr>
                <w:p w14:paraId="2FB4A39C" w14:textId="501D9FE6" w:rsidR="00051A7C" w:rsidRP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lastRenderedPageBreak/>
                    <w:t>Table 9. Environmental aspects and environmental objectives identified for the ESRM 2025-2050</w:t>
                  </w:r>
                </w:p>
              </w:tc>
              <w:tc>
                <w:tcPr>
                  <w:tcW w:w="4159" w:type="dxa"/>
                </w:tcPr>
                <w:p w14:paraId="3FF55DE1" w14:textId="41DD56FC" w:rsidR="00051A7C" w:rsidRP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In the context of current environmental challenges, it would be appropriate to indicate specific projects coffesponding to each environmental obiective.</w:t>
                  </w:r>
                </w:p>
              </w:tc>
            </w:tr>
          </w:tbl>
          <w:p w14:paraId="5EC73AD1" w14:textId="6B6A3ED5" w:rsidR="002B63CE" w:rsidRPr="002B63CE" w:rsidRDefault="002B63CE" w:rsidP="00051A7C">
            <w:pPr>
              <w:rPr>
                <w:rFonts w:ascii="Times New Roman" w:hAnsi="Times New Roman" w:cs="Times New Roman"/>
                <w:sz w:val="22"/>
                <w:szCs w:val="22"/>
              </w:rPr>
            </w:pPr>
          </w:p>
        </w:tc>
        <w:tc>
          <w:tcPr>
            <w:tcW w:w="4961" w:type="dxa"/>
          </w:tcPr>
          <w:p w14:paraId="35E5F459" w14:textId="2454E99F" w:rsidR="00903180" w:rsidRDefault="00F44B7F" w:rsidP="006F439C">
            <w:pPr>
              <w:rPr>
                <w:rFonts w:ascii="Times New Roman" w:hAnsi="Times New Roman" w:cs="Times New Roman"/>
                <w:sz w:val="22"/>
                <w:szCs w:val="22"/>
              </w:rPr>
            </w:pPr>
            <w:r w:rsidRPr="0043161E">
              <w:rPr>
                <w:rFonts w:ascii="Times New Roman" w:hAnsi="Times New Roman" w:cs="Times New Roman"/>
                <w:sz w:val="22"/>
                <w:szCs w:val="22"/>
              </w:rPr>
              <w:lastRenderedPageBreak/>
              <w:t>The strategy and report were developed according to the National Energy and Climate Plan (NECP), and the capacities included in the strategy took into account recent developments in renewable energy. Subsequently, the NECP will be amended to reflect energy capacities.</w:t>
            </w:r>
          </w:p>
          <w:p w14:paraId="3D425C92" w14:textId="77777777" w:rsidR="00F44B7F" w:rsidRDefault="00F44B7F" w:rsidP="006F439C">
            <w:pPr>
              <w:rPr>
                <w:rFonts w:ascii="Times New Roman" w:hAnsi="Times New Roman" w:cs="Times New Roman"/>
                <w:sz w:val="22"/>
                <w:szCs w:val="22"/>
              </w:rPr>
            </w:pPr>
          </w:p>
          <w:p w14:paraId="7EC05ECF" w14:textId="77777777" w:rsidR="00F21AD9" w:rsidRDefault="00F21AD9" w:rsidP="006F439C">
            <w:pPr>
              <w:rPr>
                <w:rFonts w:ascii="Times New Roman" w:hAnsi="Times New Roman" w:cs="Times New Roman"/>
                <w:sz w:val="22"/>
                <w:szCs w:val="22"/>
              </w:rPr>
            </w:pPr>
          </w:p>
          <w:p w14:paraId="33E75FD1" w14:textId="77777777" w:rsidR="002C6350" w:rsidRDefault="002C6350" w:rsidP="002C6350">
            <w:pPr>
              <w:jc w:val="both"/>
              <w:rPr>
                <w:rFonts w:ascii="Times New Roman" w:hAnsi="Times New Roman" w:cs="Times New Roman"/>
                <w:sz w:val="22"/>
                <w:szCs w:val="22"/>
              </w:rPr>
            </w:pPr>
            <w:r>
              <w:rPr>
                <w:rFonts w:ascii="Times New Roman" w:hAnsi="Times New Roman" w:cs="Times New Roman"/>
                <w:sz w:val="22"/>
                <w:szCs w:val="22"/>
              </w:rPr>
              <w:t xml:space="preserve">In the Energy Strategy 2050 is mentioned that </w:t>
            </w:r>
            <w:r w:rsidRPr="002C6350">
              <w:rPr>
                <w:rFonts w:ascii="Times New Roman" w:hAnsi="Times New Roman" w:cs="Times New Roman"/>
                <w:sz w:val="22"/>
                <w:szCs w:val="22"/>
              </w:rPr>
              <w:t>local electricity production is expected to account for approximately 90% of final electricity consumption.</w:t>
            </w:r>
          </w:p>
          <w:p w14:paraId="0A00CDA9" w14:textId="77777777" w:rsidR="0043161E" w:rsidRDefault="0043161E" w:rsidP="002C6350">
            <w:pPr>
              <w:jc w:val="both"/>
              <w:rPr>
                <w:rFonts w:ascii="Times New Roman" w:hAnsi="Times New Roman" w:cs="Times New Roman"/>
                <w:sz w:val="22"/>
                <w:szCs w:val="22"/>
              </w:rPr>
            </w:pPr>
          </w:p>
          <w:p w14:paraId="02357BAE" w14:textId="57E7B489" w:rsidR="0043161E" w:rsidRDefault="0043161E" w:rsidP="002C6350">
            <w:pPr>
              <w:jc w:val="both"/>
              <w:rPr>
                <w:rFonts w:ascii="Times New Roman" w:hAnsi="Times New Roman" w:cs="Times New Roman"/>
                <w:sz w:val="22"/>
                <w:szCs w:val="22"/>
              </w:rPr>
            </w:pPr>
            <w:r>
              <w:rPr>
                <w:rFonts w:ascii="Times New Roman" w:hAnsi="Times New Roman" w:cs="Times New Roman"/>
                <w:sz w:val="22"/>
                <w:szCs w:val="22"/>
              </w:rPr>
              <w:t>Modification have been made</w:t>
            </w:r>
            <w:r w:rsidR="00F44B7F">
              <w:rPr>
                <w:rFonts w:ascii="Times New Roman" w:hAnsi="Times New Roman" w:cs="Times New Roman"/>
                <w:sz w:val="22"/>
                <w:szCs w:val="22"/>
              </w:rPr>
              <w:t>.</w:t>
            </w:r>
          </w:p>
          <w:p w14:paraId="53BCAB8C" w14:textId="77777777" w:rsidR="002C6350" w:rsidRDefault="002C6350" w:rsidP="002C6350">
            <w:pPr>
              <w:jc w:val="both"/>
              <w:rPr>
                <w:rFonts w:ascii="Times New Roman" w:hAnsi="Times New Roman" w:cs="Times New Roman"/>
                <w:sz w:val="22"/>
                <w:szCs w:val="22"/>
              </w:rPr>
            </w:pPr>
          </w:p>
          <w:p w14:paraId="16C1E8EA" w14:textId="77777777" w:rsidR="00F44B7F" w:rsidRDefault="00F44B7F" w:rsidP="002C6350">
            <w:pPr>
              <w:jc w:val="both"/>
              <w:rPr>
                <w:rFonts w:ascii="Times New Roman" w:hAnsi="Times New Roman" w:cs="Times New Roman"/>
                <w:sz w:val="22"/>
                <w:szCs w:val="22"/>
              </w:rPr>
            </w:pPr>
          </w:p>
          <w:p w14:paraId="30F7CEE0" w14:textId="77777777" w:rsidR="00F44B7F" w:rsidRDefault="00F44B7F" w:rsidP="00F44B7F">
            <w:pPr>
              <w:jc w:val="both"/>
              <w:rPr>
                <w:rFonts w:ascii="Times New Roman" w:hAnsi="Times New Roman" w:cs="Times New Roman"/>
                <w:sz w:val="22"/>
                <w:szCs w:val="22"/>
              </w:rPr>
            </w:pPr>
            <w:r>
              <w:rPr>
                <w:rFonts w:ascii="Times New Roman" w:hAnsi="Times New Roman" w:cs="Times New Roman"/>
                <w:sz w:val="22"/>
                <w:szCs w:val="22"/>
              </w:rPr>
              <w:t>Modification have been made.</w:t>
            </w:r>
          </w:p>
          <w:p w14:paraId="6A6A35F6" w14:textId="77777777" w:rsidR="0043161E" w:rsidRDefault="0043161E" w:rsidP="002C6350">
            <w:pPr>
              <w:jc w:val="both"/>
              <w:rPr>
                <w:rFonts w:ascii="Times New Roman" w:hAnsi="Times New Roman" w:cs="Times New Roman"/>
                <w:sz w:val="22"/>
                <w:szCs w:val="22"/>
              </w:rPr>
            </w:pPr>
          </w:p>
          <w:p w14:paraId="63EEC015" w14:textId="77777777" w:rsidR="0043161E" w:rsidRDefault="0043161E" w:rsidP="002C6350">
            <w:pPr>
              <w:jc w:val="both"/>
              <w:rPr>
                <w:rFonts w:ascii="Times New Roman" w:hAnsi="Times New Roman" w:cs="Times New Roman"/>
                <w:sz w:val="22"/>
                <w:szCs w:val="22"/>
              </w:rPr>
            </w:pPr>
          </w:p>
          <w:p w14:paraId="4AA108E5" w14:textId="77777777" w:rsidR="0043161E" w:rsidRDefault="0043161E" w:rsidP="002C6350">
            <w:pPr>
              <w:jc w:val="both"/>
              <w:rPr>
                <w:rFonts w:ascii="Times New Roman" w:hAnsi="Times New Roman" w:cs="Times New Roman"/>
                <w:sz w:val="22"/>
                <w:szCs w:val="22"/>
              </w:rPr>
            </w:pPr>
          </w:p>
          <w:p w14:paraId="26B05F4B" w14:textId="77777777" w:rsidR="00F44B7F" w:rsidRDefault="00F44B7F" w:rsidP="002C6350">
            <w:pPr>
              <w:jc w:val="both"/>
              <w:rPr>
                <w:rFonts w:ascii="Times New Roman" w:hAnsi="Times New Roman" w:cs="Times New Roman"/>
                <w:sz w:val="22"/>
                <w:szCs w:val="22"/>
              </w:rPr>
            </w:pPr>
          </w:p>
          <w:p w14:paraId="7A90B56D" w14:textId="77777777" w:rsidR="00F44B7F" w:rsidRDefault="00F44B7F" w:rsidP="002C6350">
            <w:pPr>
              <w:jc w:val="both"/>
              <w:rPr>
                <w:rFonts w:ascii="Times New Roman" w:hAnsi="Times New Roman" w:cs="Times New Roman"/>
                <w:sz w:val="22"/>
                <w:szCs w:val="22"/>
              </w:rPr>
            </w:pPr>
          </w:p>
          <w:p w14:paraId="67FBF2E5" w14:textId="77777777" w:rsidR="00F44B7F" w:rsidRDefault="00F44B7F" w:rsidP="002C6350">
            <w:pPr>
              <w:jc w:val="both"/>
              <w:rPr>
                <w:rFonts w:ascii="Times New Roman" w:hAnsi="Times New Roman" w:cs="Times New Roman"/>
                <w:sz w:val="22"/>
                <w:szCs w:val="22"/>
              </w:rPr>
            </w:pPr>
          </w:p>
          <w:p w14:paraId="5E2BBFB0" w14:textId="77777777" w:rsidR="00F21AD9" w:rsidRDefault="00F21AD9" w:rsidP="002C6350">
            <w:pPr>
              <w:jc w:val="both"/>
              <w:rPr>
                <w:rFonts w:ascii="Times New Roman" w:hAnsi="Times New Roman" w:cs="Times New Roman"/>
                <w:sz w:val="22"/>
                <w:szCs w:val="22"/>
              </w:rPr>
            </w:pPr>
          </w:p>
          <w:p w14:paraId="09A0BFEF" w14:textId="77777777" w:rsidR="00F21AD9" w:rsidRDefault="00F21AD9" w:rsidP="002C6350">
            <w:pPr>
              <w:jc w:val="both"/>
              <w:rPr>
                <w:rFonts w:ascii="Times New Roman" w:hAnsi="Times New Roman" w:cs="Times New Roman"/>
                <w:sz w:val="22"/>
                <w:szCs w:val="22"/>
              </w:rPr>
            </w:pPr>
          </w:p>
          <w:p w14:paraId="6AA09CA1" w14:textId="77777777" w:rsidR="00F21AD9" w:rsidRDefault="00F21AD9" w:rsidP="002C6350">
            <w:pPr>
              <w:jc w:val="both"/>
              <w:rPr>
                <w:rFonts w:ascii="Times New Roman" w:hAnsi="Times New Roman" w:cs="Times New Roman"/>
                <w:sz w:val="22"/>
                <w:szCs w:val="22"/>
              </w:rPr>
            </w:pPr>
          </w:p>
          <w:p w14:paraId="255AA5A3" w14:textId="77777777" w:rsidR="00F21AD9" w:rsidRDefault="00F21AD9" w:rsidP="002C6350">
            <w:pPr>
              <w:jc w:val="both"/>
              <w:rPr>
                <w:rFonts w:ascii="Times New Roman" w:hAnsi="Times New Roman" w:cs="Times New Roman"/>
                <w:sz w:val="22"/>
                <w:szCs w:val="22"/>
              </w:rPr>
            </w:pPr>
          </w:p>
          <w:p w14:paraId="56BF3532" w14:textId="77777777" w:rsidR="00F21AD9" w:rsidRDefault="00F21AD9" w:rsidP="002C6350">
            <w:pPr>
              <w:jc w:val="both"/>
              <w:rPr>
                <w:rFonts w:ascii="Times New Roman" w:hAnsi="Times New Roman" w:cs="Times New Roman"/>
                <w:sz w:val="22"/>
                <w:szCs w:val="22"/>
              </w:rPr>
            </w:pPr>
          </w:p>
          <w:p w14:paraId="471614CB" w14:textId="77777777" w:rsidR="00F21AD9" w:rsidRDefault="00F21AD9" w:rsidP="002C6350">
            <w:pPr>
              <w:jc w:val="both"/>
              <w:rPr>
                <w:rFonts w:ascii="Times New Roman" w:hAnsi="Times New Roman" w:cs="Times New Roman"/>
                <w:sz w:val="22"/>
                <w:szCs w:val="22"/>
              </w:rPr>
            </w:pPr>
          </w:p>
          <w:p w14:paraId="71B142D6" w14:textId="77777777" w:rsidR="00F21AD9" w:rsidRDefault="00F21AD9" w:rsidP="002C6350">
            <w:pPr>
              <w:jc w:val="both"/>
              <w:rPr>
                <w:rFonts w:ascii="Times New Roman" w:hAnsi="Times New Roman" w:cs="Times New Roman"/>
                <w:sz w:val="22"/>
                <w:szCs w:val="22"/>
              </w:rPr>
            </w:pPr>
          </w:p>
          <w:p w14:paraId="0B1413A1" w14:textId="77777777" w:rsidR="00F21AD9" w:rsidRDefault="00F21AD9" w:rsidP="002C6350">
            <w:pPr>
              <w:jc w:val="both"/>
              <w:rPr>
                <w:rFonts w:ascii="Times New Roman" w:hAnsi="Times New Roman" w:cs="Times New Roman"/>
                <w:sz w:val="22"/>
                <w:szCs w:val="22"/>
              </w:rPr>
            </w:pPr>
          </w:p>
          <w:p w14:paraId="227772D7" w14:textId="77777777" w:rsidR="00F21AD9" w:rsidRDefault="00F21AD9" w:rsidP="002C6350">
            <w:pPr>
              <w:jc w:val="both"/>
              <w:rPr>
                <w:rFonts w:ascii="Times New Roman" w:hAnsi="Times New Roman" w:cs="Times New Roman"/>
                <w:sz w:val="22"/>
                <w:szCs w:val="22"/>
              </w:rPr>
            </w:pPr>
          </w:p>
          <w:p w14:paraId="339CDC95" w14:textId="77777777" w:rsidR="00F44B7F" w:rsidRDefault="00F44B7F" w:rsidP="002C6350">
            <w:pPr>
              <w:jc w:val="both"/>
              <w:rPr>
                <w:rFonts w:ascii="Times New Roman" w:hAnsi="Times New Roman" w:cs="Times New Roman"/>
                <w:sz w:val="22"/>
                <w:szCs w:val="22"/>
              </w:rPr>
            </w:pPr>
          </w:p>
          <w:p w14:paraId="20D0BB5E" w14:textId="77777777" w:rsidR="00E70A9D" w:rsidRDefault="00E70A9D" w:rsidP="00E70A9D">
            <w:pPr>
              <w:jc w:val="both"/>
              <w:rPr>
                <w:rFonts w:ascii="Times New Roman" w:hAnsi="Times New Roman" w:cs="Times New Roman"/>
                <w:sz w:val="22"/>
                <w:szCs w:val="22"/>
              </w:rPr>
            </w:pPr>
            <w:r>
              <w:rPr>
                <w:rFonts w:ascii="Times New Roman" w:hAnsi="Times New Roman" w:cs="Times New Roman"/>
                <w:sz w:val="22"/>
                <w:szCs w:val="22"/>
              </w:rPr>
              <w:t>Modification have been made.</w:t>
            </w:r>
          </w:p>
          <w:p w14:paraId="27DD3509" w14:textId="476C2E6D" w:rsidR="00F44B7F" w:rsidRDefault="00F44B7F" w:rsidP="002C6350">
            <w:pPr>
              <w:jc w:val="both"/>
              <w:rPr>
                <w:rFonts w:ascii="Times New Roman" w:hAnsi="Times New Roman" w:cs="Times New Roman"/>
                <w:sz w:val="22"/>
                <w:szCs w:val="22"/>
              </w:rPr>
            </w:pPr>
          </w:p>
          <w:p w14:paraId="2FEC26C1" w14:textId="77777777" w:rsidR="00F44B7F" w:rsidRDefault="00F44B7F" w:rsidP="002C6350">
            <w:pPr>
              <w:jc w:val="both"/>
              <w:rPr>
                <w:rFonts w:ascii="Times New Roman" w:hAnsi="Times New Roman" w:cs="Times New Roman"/>
                <w:sz w:val="22"/>
                <w:szCs w:val="22"/>
              </w:rPr>
            </w:pPr>
          </w:p>
          <w:p w14:paraId="7D255F8E" w14:textId="77777777" w:rsidR="00F44B7F" w:rsidRDefault="00F44B7F" w:rsidP="002C6350">
            <w:pPr>
              <w:jc w:val="both"/>
              <w:rPr>
                <w:rFonts w:ascii="Times New Roman" w:hAnsi="Times New Roman" w:cs="Times New Roman"/>
                <w:sz w:val="22"/>
                <w:szCs w:val="22"/>
              </w:rPr>
            </w:pPr>
          </w:p>
          <w:p w14:paraId="7753A6E3" w14:textId="77777777" w:rsidR="00F21AD9" w:rsidRDefault="00F21AD9" w:rsidP="002C6350">
            <w:pPr>
              <w:jc w:val="both"/>
              <w:rPr>
                <w:rFonts w:ascii="Times New Roman" w:hAnsi="Times New Roman" w:cs="Times New Roman"/>
                <w:sz w:val="22"/>
                <w:szCs w:val="22"/>
              </w:rPr>
            </w:pPr>
          </w:p>
          <w:p w14:paraId="425338C4" w14:textId="77777777" w:rsidR="00F21AD9" w:rsidRDefault="00F21AD9" w:rsidP="002C6350">
            <w:pPr>
              <w:jc w:val="both"/>
              <w:rPr>
                <w:rFonts w:ascii="Times New Roman" w:hAnsi="Times New Roman" w:cs="Times New Roman"/>
                <w:sz w:val="22"/>
                <w:szCs w:val="22"/>
              </w:rPr>
            </w:pPr>
          </w:p>
          <w:p w14:paraId="07315FB3" w14:textId="77777777" w:rsidR="00F21AD9" w:rsidRDefault="00F21AD9" w:rsidP="002C6350">
            <w:pPr>
              <w:jc w:val="both"/>
              <w:rPr>
                <w:rFonts w:ascii="Times New Roman" w:hAnsi="Times New Roman" w:cs="Times New Roman"/>
                <w:sz w:val="22"/>
                <w:szCs w:val="22"/>
              </w:rPr>
            </w:pPr>
          </w:p>
          <w:p w14:paraId="52CD2E70" w14:textId="77777777" w:rsidR="00F21AD9" w:rsidRDefault="00F21AD9" w:rsidP="002C6350">
            <w:pPr>
              <w:jc w:val="both"/>
              <w:rPr>
                <w:rFonts w:ascii="Times New Roman" w:hAnsi="Times New Roman" w:cs="Times New Roman"/>
                <w:sz w:val="22"/>
                <w:szCs w:val="22"/>
              </w:rPr>
            </w:pPr>
          </w:p>
          <w:p w14:paraId="0DE8FDF3" w14:textId="77777777" w:rsidR="00F21AD9" w:rsidRDefault="00F21AD9" w:rsidP="002C6350">
            <w:pPr>
              <w:jc w:val="both"/>
              <w:rPr>
                <w:rFonts w:ascii="Times New Roman" w:hAnsi="Times New Roman" w:cs="Times New Roman"/>
                <w:sz w:val="22"/>
                <w:szCs w:val="22"/>
              </w:rPr>
            </w:pPr>
          </w:p>
          <w:p w14:paraId="0C1CF0A3" w14:textId="77777777" w:rsidR="00774C36" w:rsidRDefault="00774C36" w:rsidP="00774C36">
            <w:pPr>
              <w:jc w:val="both"/>
              <w:rPr>
                <w:rFonts w:ascii="Times New Roman" w:hAnsi="Times New Roman" w:cs="Times New Roman"/>
                <w:sz w:val="22"/>
                <w:szCs w:val="22"/>
              </w:rPr>
            </w:pPr>
            <w:r w:rsidRPr="00413FD6">
              <w:rPr>
                <w:rFonts w:ascii="Times New Roman" w:hAnsi="Times New Roman" w:cs="Times New Roman"/>
                <w:sz w:val="22"/>
                <w:szCs w:val="22"/>
              </w:rPr>
              <w:t>Modification have been made.</w:t>
            </w:r>
          </w:p>
          <w:p w14:paraId="4D4864B2" w14:textId="77777777" w:rsidR="00774C36" w:rsidRDefault="00774C36" w:rsidP="00774C36">
            <w:pPr>
              <w:jc w:val="both"/>
              <w:rPr>
                <w:rFonts w:ascii="Times New Roman" w:hAnsi="Times New Roman" w:cs="Times New Roman"/>
                <w:sz w:val="22"/>
                <w:szCs w:val="22"/>
              </w:rPr>
            </w:pPr>
          </w:p>
          <w:p w14:paraId="48CB687D" w14:textId="77777777" w:rsidR="00E70A9D" w:rsidRDefault="00E70A9D" w:rsidP="002C6350">
            <w:pPr>
              <w:jc w:val="both"/>
              <w:rPr>
                <w:rFonts w:ascii="Times New Roman" w:hAnsi="Times New Roman" w:cs="Times New Roman"/>
                <w:sz w:val="22"/>
                <w:szCs w:val="22"/>
              </w:rPr>
            </w:pPr>
          </w:p>
          <w:p w14:paraId="79CFF738" w14:textId="77777777" w:rsidR="00F21AD9" w:rsidRDefault="00F21AD9" w:rsidP="002C6350">
            <w:pPr>
              <w:jc w:val="both"/>
              <w:rPr>
                <w:rFonts w:ascii="Times New Roman" w:hAnsi="Times New Roman" w:cs="Times New Roman"/>
                <w:sz w:val="22"/>
                <w:szCs w:val="22"/>
              </w:rPr>
            </w:pPr>
          </w:p>
          <w:p w14:paraId="14DBF59D" w14:textId="77777777" w:rsidR="00F21AD9" w:rsidRDefault="00F21AD9" w:rsidP="002C6350">
            <w:pPr>
              <w:jc w:val="both"/>
              <w:rPr>
                <w:rFonts w:ascii="Times New Roman" w:hAnsi="Times New Roman" w:cs="Times New Roman"/>
                <w:sz w:val="22"/>
                <w:szCs w:val="22"/>
              </w:rPr>
            </w:pPr>
          </w:p>
          <w:p w14:paraId="03CB1771" w14:textId="77777777" w:rsidR="00E70A9D" w:rsidRDefault="00E70A9D" w:rsidP="002C6350">
            <w:pPr>
              <w:jc w:val="both"/>
              <w:rPr>
                <w:rFonts w:ascii="Times New Roman" w:hAnsi="Times New Roman" w:cs="Times New Roman"/>
                <w:sz w:val="22"/>
                <w:szCs w:val="22"/>
              </w:rPr>
            </w:pPr>
          </w:p>
          <w:p w14:paraId="4FC71FBD" w14:textId="77777777" w:rsidR="00E716CA" w:rsidRPr="00E716CA" w:rsidRDefault="00E716CA" w:rsidP="00E716CA">
            <w:pPr>
              <w:jc w:val="both"/>
              <w:rPr>
                <w:rFonts w:ascii="Times New Roman" w:hAnsi="Times New Roman" w:cs="Times New Roman"/>
                <w:sz w:val="22"/>
                <w:szCs w:val="22"/>
                <w:lang w:val="en-US"/>
              </w:rPr>
            </w:pPr>
            <w:r w:rsidRPr="00E716CA">
              <w:rPr>
                <w:rFonts w:ascii="Times New Roman" w:hAnsi="Times New Roman" w:cs="Times New Roman"/>
                <w:sz w:val="22"/>
                <w:szCs w:val="22"/>
                <w:lang w:val="en-US"/>
              </w:rPr>
              <w:t xml:space="preserve">The implementation of the Energy Strategy will be phased over time and supported by a structured mix of regulatory and financial mechanisms aimed at mobilising private and public investment. These mechanisms may include market-based instruments such as revenues generated through the EU Emissions Trading System (ETS) alignment process or carbon pricing instruments, where applicable, as well as </w:t>
            </w:r>
            <w:r w:rsidRPr="00E716CA">
              <w:rPr>
                <w:rFonts w:ascii="Times New Roman" w:hAnsi="Times New Roman" w:cs="Times New Roman"/>
                <w:sz w:val="22"/>
                <w:szCs w:val="22"/>
                <w:lang w:val="en-US"/>
              </w:rPr>
              <w:lastRenderedPageBreak/>
              <w:t>targeted state support schemes designed to de-risk strategic low-carbon investments.</w:t>
            </w:r>
          </w:p>
          <w:p w14:paraId="25196742" w14:textId="77777777" w:rsidR="00E716CA" w:rsidRPr="00E716CA" w:rsidRDefault="00E716CA" w:rsidP="00E716CA">
            <w:pPr>
              <w:jc w:val="both"/>
              <w:rPr>
                <w:rFonts w:ascii="Times New Roman" w:hAnsi="Times New Roman" w:cs="Times New Roman"/>
                <w:sz w:val="22"/>
                <w:szCs w:val="22"/>
                <w:lang w:val="en-US"/>
              </w:rPr>
            </w:pPr>
            <w:r w:rsidRPr="00E716CA">
              <w:rPr>
                <w:rFonts w:ascii="Times New Roman" w:hAnsi="Times New Roman" w:cs="Times New Roman"/>
                <w:sz w:val="22"/>
                <w:szCs w:val="22"/>
                <w:lang w:val="en-US"/>
              </w:rPr>
              <w:t>The Strategy is also expected to be supported through the national Growth Plan framework and the development of a strategic energy investment pipeline, ensuring prioritisation of bankable projects in renewable energy, energy storage, grid modernisation and energy efficiency.</w:t>
            </w:r>
          </w:p>
          <w:p w14:paraId="5A9B2165" w14:textId="77777777" w:rsidR="00E716CA" w:rsidRPr="00E716CA" w:rsidRDefault="00E716CA" w:rsidP="00E716CA">
            <w:pPr>
              <w:jc w:val="both"/>
              <w:rPr>
                <w:rFonts w:ascii="Times New Roman" w:hAnsi="Times New Roman" w:cs="Times New Roman"/>
                <w:sz w:val="22"/>
                <w:szCs w:val="22"/>
                <w:lang w:val="en-US"/>
              </w:rPr>
            </w:pPr>
            <w:r w:rsidRPr="00E716CA">
              <w:rPr>
                <w:rFonts w:ascii="Times New Roman" w:hAnsi="Times New Roman" w:cs="Times New Roman"/>
                <w:sz w:val="22"/>
                <w:szCs w:val="22"/>
                <w:lang w:val="en-US"/>
              </w:rPr>
              <w:t>In addition, the gradual implementation of an Energy Efficiency Obligation Scheme (EEOS) is envisaged as a structural mechanism to stimulate long-term demand-side savings and improve system-wide efficiency.</w:t>
            </w:r>
          </w:p>
          <w:p w14:paraId="0C5D1868" w14:textId="77777777" w:rsidR="00E716CA" w:rsidRPr="00E716CA" w:rsidRDefault="00E716CA" w:rsidP="00E716CA">
            <w:pPr>
              <w:jc w:val="both"/>
              <w:rPr>
                <w:rFonts w:ascii="Times New Roman" w:hAnsi="Times New Roman" w:cs="Times New Roman"/>
                <w:sz w:val="22"/>
                <w:szCs w:val="22"/>
                <w:lang w:val="en-US"/>
              </w:rPr>
            </w:pPr>
            <w:r w:rsidRPr="00E716CA">
              <w:rPr>
                <w:rFonts w:ascii="Times New Roman" w:hAnsi="Times New Roman" w:cs="Times New Roman"/>
                <w:sz w:val="22"/>
                <w:szCs w:val="22"/>
                <w:lang w:val="en-US"/>
              </w:rPr>
              <w:t>Detailed design, timelines and financial parameters of these instruments will be further elaborated within the process of updating and implementing subsequent National Energy and Climate Plans (NECPs), ensuring coherence between strategic objectives, regulatory measures and investment mobilisation pathways.</w:t>
            </w:r>
          </w:p>
          <w:p w14:paraId="6DA61E1E" w14:textId="5389D90E" w:rsidR="00E70A9D" w:rsidRPr="00E716CA" w:rsidRDefault="00E70A9D" w:rsidP="002C6350">
            <w:pPr>
              <w:jc w:val="both"/>
              <w:rPr>
                <w:rFonts w:ascii="Times New Roman" w:hAnsi="Times New Roman" w:cs="Times New Roman"/>
                <w:sz w:val="22"/>
                <w:szCs w:val="22"/>
                <w:lang w:val="en-US"/>
              </w:rPr>
            </w:pPr>
          </w:p>
          <w:p w14:paraId="1C285478" w14:textId="237A4279" w:rsidR="0043161E" w:rsidRPr="002B63CE" w:rsidRDefault="0043161E" w:rsidP="00E716CA">
            <w:pPr>
              <w:jc w:val="both"/>
              <w:rPr>
                <w:rFonts w:ascii="Times New Roman" w:hAnsi="Times New Roman" w:cs="Times New Roman"/>
                <w:sz w:val="22"/>
                <w:szCs w:val="22"/>
              </w:rPr>
            </w:pPr>
          </w:p>
        </w:tc>
      </w:tr>
      <w:tr w:rsidR="00903180" w:rsidRPr="002B63CE" w14:paraId="6C3A441B" w14:textId="77777777" w:rsidTr="00D17F93">
        <w:tc>
          <w:tcPr>
            <w:tcW w:w="611" w:type="dxa"/>
          </w:tcPr>
          <w:p w14:paraId="159A14A3" w14:textId="56325ADF" w:rsidR="00903180" w:rsidRPr="002B63CE" w:rsidRDefault="00051A7C" w:rsidP="006F439C">
            <w:pPr>
              <w:rPr>
                <w:rFonts w:ascii="Times New Roman" w:hAnsi="Times New Roman" w:cs="Times New Roman"/>
                <w:sz w:val="22"/>
                <w:szCs w:val="22"/>
              </w:rPr>
            </w:pPr>
            <w:r>
              <w:rPr>
                <w:rFonts w:ascii="Times New Roman" w:hAnsi="Times New Roman" w:cs="Times New Roman"/>
                <w:sz w:val="22"/>
                <w:szCs w:val="22"/>
              </w:rPr>
              <w:lastRenderedPageBreak/>
              <w:t>7</w:t>
            </w:r>
          </w:p>
        </w:tc>
        <w:tc>
          <w:tcPr>
            <w:tcW w:w="7464" w:type="dxa"/>
          </w:tcPr>
          <w:p w14:paraId="586DE21C" w14:textId="77777777" w:rsidR="00903180" w:rsidRDefault="00051A7C" w:rsidP="006F439C">
            <w:pPr>
              <w:rPr>
                <w:rFonts w:ascii="Times New Roman" w:hAnsi="Times New Roman" w:cs="Times New Roman"/>
                <w:sz w:val="22"/>
                <w:szCs w:val="22"/>
              </w:rPr>
            </w:pPr>
            <w:r w:rsidRPr="00051A7C">
              <w:rPr>
                <w:rFonts w:ascii="Times New Roman" w:hAnsi="Times New Roman" w:cs="Times New Roman"/>
                <w:sz w:val="22"/>
                <w:szCs w:val="22"/>
              </w:rPr>
              <w:t xml:space="preserve"> Proposals for expanding the description of regional cooperation with Ukraine in the Energy Strategy</w:t>
            </w:r>
          </w:p>
          <w:tbl>
            <w:tblPr>
              <w:tblStyle w:val="TableGrid"/>
              <w:tblW w:w="0" w:type="auto"/>
              <w:tblLook w:val="04A0" w:firstRow="1" w:lastRow="0" w:firstColumn="1" w:lastColumn="0" w:noHBand="0" w:noVBand="1"/>
            </w:tblPr>
            <w:tblGrid>
              <w:gridCol w:w="3624"/>
              <w:gridCol w:w="3614"/>
            </w:tblGrid>
            <w:tr w:rsidR="00051A7C" w14:paraId="0133DB1E" w14:textId="77777777" w:rsidTr="00051A7C">
              <w:tc>
                <w:tcPr>
                  <w:tcW w:w="4158" w:type="dxa"/>
                </w:tcPr>
                <w:p w14:paraId="78438C28" w14:textId="48276BCE" w:rsidR="00051A7C" w:rsidRDefault="00D92164" w:rsidP="006F439C">
                  <w:pPr>
                    <w:rPr>
                      <w:rFonts w:ascii="Times New Roman" w:hAnsi="Times New Roman" w:cs="Times New Roman"/>
                      <w:sz w:val="22"/>
                      <w:szCs w:val="22"/>
                    </w:rPr>
                  </w:pPr>
                  <w:r w:rsidRPr="00D92164">
                    <w:rPr>
                      <w:rFonts w:ascii="Times New Roman" w:hAnsi="Times New Roman" w:cs="Times New Roman"/>
                      <w:sz w:val="22"/>
                      <w:szCs w:val="22"/>
                    </w:rPr>
                    <w:t>Chapter I. Section 3 (Regional context) Chapter II. Section 7 (Characteristics of the electricity sector) Section 14 (SWOT)</w:t>
                  </w:r>
                </w:p>
              </w:tc>
              <w:tc>
                <w:tcPr>
                  <w:tcW w:w="4159" w:type="dxa"/>
                </w:tcPr>
                <w:p w14:paraId="5264D45D" w14:textId="19250BD6" w:rsidR="00051A7C" w:rsidRDefault="00D92164" w:rsidP="006F439C">
                  <w:pPr>
                    <w:rPr>
                      <w:rFonts w:ascii="Times New Roman" w:hAnsi="Times New Roman" w:cs="Times New Roman"/>
                      <w:sz w:val="22"/>
                      <w:szCs w:val="22"/>
                    </w:rPr>
                  </w:pPr>
                  <w:r w:rsidRPr="00D92164">
                    <w:rPr>
                      <w:rFonts w:ascii="Times New Roman" w:hAnsi="Times New Roman" w:cs="Times New Roman"/>
                      <w:sz w:val="22"/>
                      <w:szCs w:val="22"/>
                    </w:rPr>
                    <w:t>It is recommended to strengthen the analysis by describing the specific features of synchronous operation and the evolution of interaction with Ukraine/NPC “Ukrenergo,” both in terms of existing challenges and potential joint measures to enhance energy security and resilience of both energy systems within synchronous operation with ENTSO-E countries.</w:t>
                  </w:r>
                </w:p>
              </w:tc>
            </w:tr>
            <w:tr w:rsidR="00051A7C" w14:paraId="215DAFB0" w14:textId="77777777" w:rsidTr="00051A7C">
              <w:tc>
                <w:tcPr>
                  <w:tcW w:w="4158" w:type="dxa"/>
                </w:tcPr>
                <w:p w14:paraId="3D69AD85" w14:textId="50CE49BC" w:rsidR="00051A7C" w:rsidRDefault="00D92164" w:rsidP="006F439C">
                  <w:pPr>
                    <w:rPr>
                      <w:rFonts w:ascii="Times New Roman" w:hAnsi="Times New Roman" w:cs="Times New Roman"/>
                      <w:sz w:val="22"/>
                      <w:szCs w:val="22"/>
                    </w:rPr>
                  </w:pPr>
                  <w:r w:rsidRPr="00D92164">
                    <w:rPr>
                      <w:rFonts w:ascii="Times New Roman" w:hAnsi="Times New Roman" w:cs="Times New Roman"/>
                      <w:sz w:val="22"/>
                      <w:szCs w:val="22"/>
                    </w:rPr>
                    <w:t xml:space="preserve">Chapter I. Section 3 (Regional context) Chapter II. Section 7 (Characteristics of the electricity </w:t>
                  </w:r>
                  <w:r w:rsidRPr="00D92164">
                    <w:rPr>
                      <w:rFonts w:ascii="Times New Roman" w:hAnsi="Times New Roman" w:cs="Times New Roman"/>
                      <w:sz w:val="22"/>
                      <w:szCs w:val="22"/>
                    </w:rPr>
                    <w:lastRenderedPageBreak/>
                    <w:t>sector), Chapter IV. General objectives and priority directions</w:t>
                  </w:r>
                </w:p>
              </w:tc>
              <w:tc>
                <w:tcPr>
                  <w:tcW w:w="4159" w:type="dxa"/>
                </w:tcPr>
                <w:p w14:paraId="1A3293D2" w14:textId="6639B5C4" w:rsidR="00051A7C" w:rsidRDefault="00D92164" w:rsidP="006F439C">
                  <w:pPr>
                    <w:rPr>
                      <w:rFonts w:ascii="Times New Roman" w:hAnsi="Times New Roman" w:cs="Times New Roman"/>
                      <w:sz w:val="22"/>
                      <w:szCs w:val="22"/>
                    </w:rPr>
                  </w:pPr>
                  <w:r w:rsidRPr="00D92164">
                    <w:rPr>
                      <w:rFonts w:ascii="Times New Roman" w:hAnsi="Times New Roman" w:cs="Times New Roman"/>
                      <w:sz w:val="22"/>
                      <w:szCs w:val="22"/>
                    </w:rPr>
                    <w:lastRenderedPageBreak/>
                    <w:t xml:space="preserve">It is proposed to expand the section with information on common challenges and opportunities in the </w:t>
                  </w:r>
                  <w:r w:rsidRPr="00D92164">
                    <w:rPr>
                      <w:rFonts w:ascii="Times New Roman" w:hAnsi="Times New Roman" w:cs="Times New Roman"/>
                      <w:sz w:val="22"/>
                      <w:szCs w:val="22"/>
                    </w:rPr>
                    <w:lastRenderedPageBreak/>
                    <w:t>context of integration into the European electricity market for Moldova and Ukraine (preconditions, constraints, expected benefits/risks, roles of electricity market stakeholders). It would also be advisable to mention cooperation between the TSOs of Ukraine and Moldova within the Eastern Europe Capacity Calculation Region (EE CCR).</w:t>
                  </w:r>
                </w:p>
              </w:tc>
            </w:tr>
            <w:tr w:rsidR="00051A7C" w14:paraId="384727B2" w14:textId="77777777" w:rsidTr="00051A7C">
              <w:tc>
                <w:tcPr>
                  <w:tcW w:w="4158" w:type="dxa"/>
                </w:tcPr>
                <w:p w14:paraId="2229C8F5" w14:textId="70EE50BD" w:rsidR="00051A7C" w:rsidRDefault="00D92164" w:rsidP="006F439C">
                  <w:pPr>
                    <w:rPr>
                      <w:rFonts w:ascii="Times New Roman" w:hAnsi="Times New Roman" w:cs="Times New Roman"/>
                      <w:sz w:val="22"/>
                      <w:szCs w:val="22"/>
                    </w:rPr>
                  </w:pPr>
                  <w:r w:rsidRPr="00D92164">
                    <w:rPr>
                      <w:rFonts w:ascii="Times New Roman" w:hAnsi="Times New Roman" w:cs="Times New Roman"/>
                      <w:sz w:val="22"/>
                      <w:szCs w:val="22"/>
                    </w:rPr>
                    <w:lastRenderedPageBreak/>
                    <w:t>Chapter II. Section 12 (State of play of the digitalisation of the energy sector)</w:t>
                  </w:r>
                </w:p>
              </w:tc>
              <w:tc>
                <w:tcPr>
                  <w:tcW w:w="4159" w:type="dxa"/>
                </w:tcPr>
                <w:p w14:paraId="380F2690" w14:textId="2747075A" w:rsidR="00051A7C" w:rsidRDefault="00051A7C" w:rsidP="00FE1E6F">
                  <w:pPr>
                    <w:jc w:val="both"/>
                    <w:rPr>
                      <w:rFonts w:ascii="Times New Roman" w:hAnsi="Times New Roman" w:cs="Times New Roman"/>
                      <w:sz w:val="22"/>
                      <w:szCs w:val="22"/>
                    </w:rPr>
                  </w:pPr>
                  <w:r w:rsidRPr="00051A7C">
                    <w:rPr>
                      <w:rFonts w:ascii="Times New Roman" w:hAnsi="Times New Roman" w:cs="Times New Roman"/>
                      <w:sz w:val="22"/>
                      <w:szCs w:val="22"/>
                    </w:rPr>
                    <w:t>The section should be supplemented with information on transboundary cyber risks and mechanisms of cooperation with NPC "</w:t>
                  </w:r>
                  <w:r w:rsidR="0035447E">
                    <w:rPr>
                      <w:rFonts w:ascii="Times New Roman" w:hAnsi="Times New Roman" w:cs="Times New Roman"/>
                      <w:sz w:val="22"/>
                      <w:szCs w:val="22"/>
                    </w:rPr>
                    <w:t>U</w:t>
                  </w:r>
                  <w:r w:rsidRPr="00051A7C">
                    <w:rPr>
                      <w:rFonts w:ascii="Times New Roman" w:hAnsi="Times New Roman" w:cs="Times New Roman"/>
                      <w:sz w:val="22"/>
                      <w:szCs w:val="22"/>
                    </w:rPr>
                    <w:t>krenergo" in joint prevention and response measures.</w:t>
                  </w:r>
                </w:p>
              </w:tc>
            </w:tr>
          </w:tbl>
          <w:p w14:paraId="53167DDE" w14:textId="42FF4622" w:rsidR="00051A7C" w:rsidRPr="002B63CE" w:rsidRDefault="00051A7C" w:rsidP="006F439C">
            <w:pPr>
              <w:rPr>
                <w:rFonts w:ascii="Times New Roman" w:hAnsi="Times New Roman" w:cs="Times New Roman"/>
                <w:sz w:val="22"/>
                <w:szCs w:val="22"/>
              </w:rPr>
            </w:pPr>
          </w:p>
        </w:tc>
        <w:tc>
          <w:tcPr>
            <w:tcW w:w="4961" w:type="dxa"/>
          </w:tcPr>
          <w:p w14:paraId="42A84BFE" w14:textId="4D78146F" w:rsidR="00E716CA" w:rsidRDefault="00E716CA" w:rsidP="00E716CA">
            <w:pPr>
              <w:rPr>
                <w:rFonts w:ascii="Times New Roman" w:hAnsi="Times New Roman" w:cs="Times New Roman"/>
                <w:sz w:val="22"/>
                <w:szCs w:val="22"/>
              </w:rPr>
            </w:pPr>
            <w:r>
              <w:rPr>
                <w:rFonts w:ascii="Times New Roman" w:hAnsi="Times New Roman" w:cs="Times New Roman"/>
                <w:sz w:val="22"/>
                <w:szCs w:val="22"/>
              </w:rPr>
              <w:lastRenderedPageBreak/>
              <w:t>Modifications in the mentioned had been made.</w:t>
            </w:r>
          </w:p>
          <w:p w14:paraId="20E78085" w14:textId="779F62D8" w:rsidR="00903180" w:rsidRPr="002B63CE" w:rsidRDefault="00903180" w:rsidP="006F439C">
            <w:pPr>
              <w:rPr>
                <w:rFonts w:ascii="Times New Roman" w:hAnsi="Times New Roman" w:cs="Times New Roman"/>
                <w:sz w:val="22"/>
                <w:szCs w:val="22"/>
              </w:rPr>
            </w:pPr>
          </w:p>
        </w:tc>
      </w:tr>
      <w:tr w:rsidR="00051A7C" w:rsidRPr="002B63CE" w14:paraId="5821CC8A" w14:textId="77777777" w:rsidTr="00D17F93">
        <w:tc>
          <w:tcPr>
            <w:tcW w:w="611" w:type="dxa"/>
          </w:tcPr>
          <w:p w14:paraId="7B9181DA" w14:textId="115DCBE0" w:rsidR="00051A7C" w:rsidRDefault="00051A7C" w:rsidP="006F439C">
            <w:pPr>
              <w:rPr>
                <w:rFonts w:ascii="Times New Roman" w:hAnsi="Times New Roman" w:cs="Times New Roman"/>
                <w:sz w:val="22"/>
                <w:szCs w:val="22"/>
              </w:rPr>
            </w:pPr>
            <w:r w:rsidRPr="00051A7C">
              <w:rPr>
                <w:rFonts w:ascii="Times New Roman" w:hAnsi="Times New Roman" w:cs="Times New Roman"/>
                <w:sz w:val="22"/>
                <w:szCs w:val="22"/>
              </w:rPr>
              <w:t>8</w:t>
            </w:r>
          </w:p>
        </w:tc>
        <w:tc>
          <w:tcPr>
            <w:tcW w:w="7464" w:type="dxa"/>
          </w:tcPr>
          <w:p w14:paraId="68BF300E"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Editorial comments</w:t>
            </w:r>
          </w:p>
          <w:p w14:paraId="018D319E"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Attention is also drawn to identified editorial inconsistencies of a general nature.</w:t>
            </w:r>
          </w:p>
          <w:p w14:paraId="577FC1DE"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In particular, discrepancies have been identified between the list of Priority Directions under each General Objective presented in Tables 1 and 2 of the SEA Report (pp. 16 and 19) and the information contained in the Energy Strategy. </w:t>
            </w:r>
          </w:p>
          <w:p w14:paraId="5B7B49E7"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For example: </w:t>
            </w:r>
          </w:p>
          <w:p w14:paraId="58899BB7"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Priority Direction 4.8 "Increasing the share of renewable energy in the transport sector" is included in Tables 1 and 2 bfi absent from the Energy Strategy, while "Integration of the circular economy" is absent in Tables 1 and Zbut included in the Energy Strategy as PD 4.10; </w:t>
            </w:r>
          </w:p>
          <w:p w14:paraId="33AF3B6D"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the SuperESCO financing model is mentioned under Priority Direction 3.5 in the Energy Strategy, whereas in the SEA Report it is included under Priority Direction 3.4;</w:t>
            </w:r>
          </w:p>
          <w:p w14:paraId="2DBB41D8" w14:textId="322795EC"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 measures under Priority Directions 3.7 and 3.8 in the SEA Report correspond to Priority Directions 3.8 and 3.9 in the Energy Strategy, respectively. </w:t>
            </w:r>
          </w:p>
          <w:p w14:paraId="73575E32" w14:textId="79C5A0EB"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Furthermore, certain measures listed under Priority Directions in the SEA Report are absent in the Energy Strategy document, for example under Priority Direction 4.8: </w:t>
            </w:r>
          </w:p>
          <w:p w14:paraId="42FCC31E" w14:textId="59F62BE8"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lastRenderedPageBreak/>
              <w:t>increasing the share of electric and hybrid vehicles to l5</w:t>
            </w:r>
            <w:r w:rsidR="000A10A4">
              <w:rPr>
                <w:rFonts w:ascii="Times New Roman" w:hAnsi="Times New Roman" w:cs="Times New Roman"/>
                <w:sz w:val="22"/>
                <w:szCs w:val="22"/>
              </w:rPr>
              <w:t>%</w:t>
            </w:r>
            <w:r w:rsidRPr="00051A7C">
              <w:rPr>
                <w:rFonts w:ascii="Times New Roman" w:hAnsi="Times New Roman" w:cs="Times New Roman"/>
                <w:sz w:val="22"/>
                <w:szCs w:val="22"/>
              </w:rPr>
              <w:t xml:space="preserve"> by 2030 and73</w:t>
            </w:r>
            <w:r w:rsidR="000A10A4">
              <w:rPr>
                <w:rFonts w:ascii="Times New Roman" w:hAnsi="Times New Roman" w:cs="Times New Roman"/>
                <w:sz w:val="22"/>
                <w:szCs w:val="22"/>
              </w:rPr>
              <w:t>%</w:t>
            </w:r>
            <w:r w:rsidRPr="00051A7C">
              <w:rPr>
                <w:rFonts w:ascii="Times New Roman" w:hAnsi="Times New Roman" w:cs="Times New Roman"/>
                <w:sz w:val="22"/>
                <w:szCs w:val="22"/>
              </w:rPr>
              <w:t xml:space="preserve"> by 2050; </w:t>
            </w:r>
          </w:p>
          <w:p w14:paraId="359EAF93" w14:textId="77777777" w:rsid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 xml:space="preserve">prioritising electrification of urban public transport and commercial fleets; </w:t>
            </w:r>
          </w:p>
          <w:p w14:paraId="182F8E2B" w14:textId="4E69E5FC" w:rsidR="00051A7C" w:rsidRPr="00051A7C" w:rsidRDefault="00051A7C" w:rsidP="00051A7C">
            <w:pPr>
              <w:jc w:val="both"/>
              <w:rPr>
                <w:rFonts w:ascii="Times New Roman" w:hAnsi="Times New Roman" w:cs="Times New Roman"/>
                <w:sz w:val="22"/>
                <w:szCs w:val="22"/>
              </w:rPr>
            </w:pPr>
            <w:r w:rsidRPr="00051A7C">
              <w:rPr>
                <w:rFonts w:ascii="Times New Roman" w:hAnsi="Times New Roman" w:cs="Times New Roman"/>
                <w:sz w:val="22"/>
                <w:szCs w:val="22"/>
              </w:rPr>
              <w:t>projected 84</w:t>
            </w:r>
            <w:r w:rsidR="003B50E1">
              <w:rPr>
                <w:rFonts w:ascii="Times New Roman" w:hAnsi="Times New Roman" w:cs="Times New Roman"/>
                <w:sz w:val="22"/>
                <w:szCs w:val="22"/>
              </w:rPr>
              <w:t>%</w:t>
            </w:r>
            <w:r w:rsidRPr="00051A7C">
              <w:rPr>
                <w:rFonts w:ascii="Times New Roman" w:hAnsi="Times New Roman" w:cs="Times New Roman"/>
                <w:sz w:val="22"/>
                <w:szCs w:val="22"/>
              </w:rPr>
              <w:t xml:space="preserve"> reduction in PM2,5 concentrations by 2050 and related health and economic benefits.</w:t>
            </w:r>
          </w:p>
        </w:tc>
        <w:tc>
          <w:tcPr>
            <w:tcW w:w="4961" w:type="dxa"/>
          </w:tcPr>
          <w:p w14:paraId="08C0A5A5" w14:textId="3E7B1A59" w:rsidR="000A10A4" w:rsidRDefault="000A10A4" w:rsidP="006F439C">
            <w:pPr>
              <w:rPr>
                <w:rFonts w:ascii="Times New Roman" w:hAnsi="Times New Roman" w:cs="Times New Roman"/>
                <w:sz w:val="22"/>
                <w:szCs w:val="22"/>
              </w:rPr>
            </w:pPr>
            <w:r>
              <w:rPr>
                <w:rFonts w:ascii="Times New Roman" w:hAnsi="Times New Roman" w:cs="Times New Roman"/>
                <w:sz w:val="22"/>
                <w:szCs w:val="22"/>
              </w:rPr>
              <w:lastRenderedPageBreak/>
              <w:t>Modifications in the Tables 1 and 2 mentioned had been made.</w:t>
            </w:r>
          </w:p>
          <w:p w14:paraId="736DD8C4" w14:textId="57F313DB" w:rsidR="00051A7C" w:rsidRPr="002B63CE" w:rsidRDefault="00051A7C" w:rsidP="006F439C">
            <w:pPr>
              <w:rPr>
                <w:rFonts w:ascii="Times New Roman" w:hAnsi="Times New Roman" w:cs="Times New Roman"/>
                <w:sz w:val="22"/>
                <w:szCs w:val="22"/>
              </w:rPr>
            </w:pPr>
          </w:p>
        </w:tc>
      </w:tr>
    </w:tbl>
    <w:p w14:paraId="5CAF5DE3" w14:textId="77777777" w:rsidR="004844CC" w:rsidRPr="00C25B82" w:rsidRDefault="004844CC">
      <w:pPr>
        <w:rPr>
          <w:rFonts w:ascii="Times New Roman" w:hAnsi="Times New Roman" w:cs="Times New Roman"/>
          <w:sz w:val="22"/>
          <w:szCs w:val="22"/>
        </w:rPr>
      </w:pPr>
    </w:p>
    <w:sectPr w:rsidR="004844CC" w:rsidRPr="00C25B82" w:rsidSect="00AF442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D509" w14:textId="77777777" w:rsidR="00C646D2" w:rsidRPr="002B63CE" w:rsidRDefault="00C646D2" w:rsidP="00910E43">
      <w:pPr>
        <w:spacing w:after="0" w:line="240" w:lineRule="auto"/>
      </w:pPr>
      <w:r w:rsidRPr="002B63CE">
        <w:separator/>
      </w:r>
    </w:p>
  </w:endnote>
  <w:endnote w:type="continuationSeparator" w:id="0">
    <w:p w14:paraId="19EA0A1E" w14:textId="77777777" w:rsidR="00C646D2" w:rsidRPr="002B63CE" w:rsidRDefault="00C646D2" w:rsidP="00910E43">
      <w:pPr>
        <w:spacing w:after="0" w:line="240" w:lineRule="auto"/>
      </w:pPr>
      <w:r w:rsidRPr="002B6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67C7" w14:textId="77777777" w:rsidR="00C646D2" w:rsidRPr="002B63CE" w:rsidRDefault="00C646D2" w:rsidP="00910E43">
      <w:pPr>
        <w:spacing w:after="0" w:line="240" w:lineRule="auto"/>
      </w:pPr>
      <w:r w:rsidRPr="002B63CE">
        <w:separator/>
      </w:r>
    </w:p>
  </w:footnote>
  <w:footnote w:type="continuationSeparator" w:id="0">
    <w:p w14:paraId="6C071E92" w14:textId="77777777" w:rsidR="00C646D2" w:rsidRPr="002B63CE" w:rsidRDefault="00C646D2" w:rsidP="00910E43">
      <w:pPr>
        <w:spacing w:after="0" w:line="240" w:lineRule="auto"/>
      </w:pPr>
      <w:r w:rsidRPr="002B63C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04"/>
    <w:rsid w:val="000001D2"/>
    <w:rsid w:val="00016700"/>
    <w:rsid w:val="00051A7C"/>
    <w:rsid w:val="0007554B"/>
    <w:rsid w:val="000927D9"/>
    <w:rsid w:val="000A10A4"/>
    <w:rsid w:val="000F3BD0"/>
    <w:rsid w:val="00133952"/>
    <w:rsid w:val="00141C39"/>
    <w:rsid w:val="001673C9"/>
    <w:rsid w:val="00175161"/>
    <w:rsid w:val="002247C0"/>
    <w:rsid w:val="00274527"/>
    <w:rsid w:val="00294B0C"/>
    <w:rsid w:val="002B63CE"/>
    <w:rsid w:val="002C1EAE"/>
    <w:rsid w:val="002C6350"/>
    <w:rsid w:val="00350FF4"/>
    <w:rsid w:val="0035447E"/>
    <w:rsid w:val="0037227E"/>
    <w:rsid w:val="0038269D"/>
    <w:rsid w:val="003B50E1"/>
    <w:rsid w:val="003E4669"/>
    <w:rsid w:val="00413FD6"/>
    <w:rsid w:val="0043161E"/>
    <w:rsid w:val="004376FE"/>
    <w:rsid w:val="00477AF7"/>
    <w:rsid w:val="0048156D"/>
    <w:rsid w:val="004844CC"/>
    <w:rsid w:val="004C50BC"/>
    <w:rsid w:val="004F6E30"/>
    <w:rsid w:val="0053241B"/>
    <w:rsid w:val="00552B57"/>
    <w:rsid w:val="00586A44"/>
    <w:rsid w:val="005908F7"/>
    <w:rsid w:val="00645FE6"/>
    <w:rsid w:val="006876AE"/>
    <w:rsid w:val="006C4C52"/>
    <w:rsid w:val="006F6440"/>
    <w:rsid w:val="00713DB0"/>
    <w:rsid w:val="00774C36"/>
    <w:rsid w:val="00775D67"/>
    <w:rsid w:val="00825F30"/>
    <w:rsid w:val="008445DE"/>
    <w:rsid w:val="008603C3"/>
    <w:rsid w:val="008E328F"/>
    <w:rsid w:val="00903180"/>
    <w:rsid w:val="00910E43"/>
    <w:rsid w:val="009741AC"/>
    <w:rsid w:val="009B03C6"/>
    <w:rsid w:val="00A7572C"/>
    <w:rsid w:val="00A860F3"/>
    <w:rsid w:val="00A9317D"/>
    <w:rsid w:val="00AF442F"/>
    <w:rsid w:val="00B11304"/>
    <w:rsid w:val="00B33A86"/>
    <w:rsid w:val="00B65BDB"/>
    <w:rsid w:val="00B965C5"/>
    <w:rsid w:val="00BE2F9B"/>
    <w:rsid w:val="00BE49D3"/>
    <w:rsid w:val="00BF2383"/>
    <w:rsid w:val="00C05ACE"/>
    <w:rsid w:val="00C14136"/>
    <w:rsid w:val="00C25B82"/>
    <w:rsid w:val="00C646D2"/>
    <w:rsid w:val="00C950DC"/>
    <w:rsid w:val="00CA28A0"/>
    <w:rsid w:val="00CF756D"/>
    <w:rsid w:val="00D17F93"/>
    <w:rsid w:val="00D432F9"/>
    <w:rsid w:val="00D80172"/>
    <w:rsid w:val="00D9129A"/>
    <w:rsid w:val="00D92164"/>
    <w:rsid w:val="00DC36F3"/>
    <w:rsid w:val="00E61CEA"/>
    <w:rsid w:val="00E70A9D"/>
    <w:rsid w:val="00E716CA"/>
    <w:rsid w:val="00EB5EC1"/>
    <w:rsid w:val="00F21AD9"/>
    <w:rsid w:val="00F44B7F"/>
    <w:rsid w:val="00F80BE8"/>
    <w:rsid w:val="00F96D67"/>
    <w:rsid w:val="00FA651C"/>
    <w:rsid w:val="00FD3F5E"/>
    <w:rsid w:val="00FE1E6F"/>
    <w:rsid w:val="00FE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F3DA"/>
  <w15:chartTrackingRefBased/>
  <w15:docId w15:val="{1615D6E7-DE27-4850-9BED-7D8BA5FB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MD"/>
    </w:rPr>
  </w:style>
  <w:style w:type="paragraph" w:styleId="Heading1">
    <w:name w:val="heading 1"/>
    <w:basedOn w:val="Normal"/>
    <w:next w:val="Normal"/>
    <w:link w:val="Heading1Char"/>
    <w:uiPriority w:val="9"/>
    <w:qFormat/>
    <w:rsid w:val="00B11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304"/>
    <w:rPr>
      <w:rFonts w:asciiTheme="majorHAnsi" w:eastAsiaTheme="majorEastAsia" w:hAnsiTheme="majorHAnsi" w:cstheme="majorBidi"/>
      <w:color w:val="0F4761" w:themeColor="accent1" w:themeShade="BF"/>
      <w:sz w:val="40"/>
      <w:szCs w:val="40"/>
      <w:lang w:val="ro-MD"/>
    </w:rPr>
  </w:style>
  <w:style w:type="character" w:customStyle="1" w:styleId="Heading2Char">
    <w:name w:val="Heading 2 Char"/>
    <w:basedOn w:val="DefaultParagraphFont"/>
    <w:link w:val="Heading2"/>
    <w:uiPriority w:val="9"/>
    <w:semiHidden/>
    <w:rsid w:val="00B11304"/>
    <w:rPr>
      <w:rFonts w:asciiTheme="majorHAnsi" w:eastAsiaTheme="majorEastAsia" w:hAnsiTheme="majorHAnsi" w:cstheme="majorBidi"/>
      <w:color w:val="0F4761" w:themeColor="accent1" w:themeShade="BF"/>
      <w:sz w:val="32"/>
      <w:szCs w:val="32"/>
      <w:lang w:val="ro-MD"/>
    </w:rPr>
  </w:style>
  <w:style w:type="character" w:customStyle="1" w:styleId="Heading3Char">
    <w:name w:val="Heading 3 Char"/>
    <w:basedOn w:val="DefaultParagraphFont"/>
    <w:link w:val="Heading3"/>
    <w:uiPriority w:val="9"/>
    <w:semiHidden/>
    <w:rsid w:val="00B11304"/>
    <w:rPr>
      <w:rFonts w:eastAsiaTheme="majorEastAsia" w:cstheme="majorBidi"/>
      <w:color w:val="0F4761" w:themeColor="accent1" w:themeShade="BF"/>
      <w:sz w:val="28"/>
      <w:szCs w:val="28"/>
      <w:lang w:val="ro-MD"/>
    </w:rPr>
  </w:style>
  <w:style w:type="character" w:customStyle="1" w:styleId="Heading4Char">
    <w:name w:val="Heading 4 Char"/>
    <w:basedOn w:val="DefaultParagraphFont"/>
    <w:link w:val="Heading4"/>
    <w:uiPriority w:val="9"/>
    <w:semiHidden/>
    <w:rsid w:val="00B11304"/>
    <w:rPr>
      <w:rFonts w:eastAsiaTheme="majorEastAsia" w:cstheme="majorBidi"/>
      <w:i/>
      <w:iCs/>
      <w:color w:val="0F4761" w:themeColor="accent1" w:themeShade="BF"/>
      <w:lang w:val="ro-MD"/>
    </w:rPr>
  </w:style>
  <w:style w:type="character" w:customStyle="1" w:styleId="Heading5Char">
    <w:name w:val="Heading 5 Char"/>
    <w:basedOn w:val="DefaultParagraphFont"/>
    <w:link w:val="Heading5"/>
    <w:uiPriority w:val="9"/>
    <w:semiHidden/>
    <w:rsid w:val="00B11304"/>
    <w:rPr>
      <w:rFonts w:eastAsiaTheme="majorEastAsia" w:cstheme="majorBidi"/>
      <w:color w:val="0F4761" w:themeColor="accent1" w:themeShade="BF"/>
      <w:lang w:val="ro-MD"/>
    </w:rPr>
  </w:style>
  <w:style w:type="character" w:customStyle="1" w:styleId="Heading6Char">
    <w:name w:val="Heading 6 Char"/>
    <w:basedOn w:val="DefaultParagraphFont"/>
    <w:link w:val="Heading6"/>
    <w:uiPriority w:val="9"/>
    <w:semiHidden/>
    <w:rsid w:val="00B11304"/>
    <w:rPr>
      <w:rFonts w:eastAsiaTheme="majorEastAsia" w:cstheme="majorBidi"/>
      <w:i/>
      <w:iCs/>
      <w:color w:val="595959" w:themeColor="text1" w:themeTint="A6"/>
      <w:lang w:val="ro-MD"/>
    </w:rPr>
  </w:style>
  <w:style w:type="character" w:customStyle="1" w:styleId="Heading7Char">
    <w:name w:val="Heading 7 Char"/>
    <w:basedOn w:val="DefaultParagraphFont"/>
    <w:link w:val="Heading7"/>
    <w:uiPriority w:val="9"/>
    <w:semiHidden/>
    <w:rsid w:val="00B11304"/>
    <w:rPr>
      <w:rFonts w:eastAsiaTheme="majorEastAsia" w:cstheme="majorBidi"/>
      <w:color w:val="595959" w:themeColor="text1" w:themeTint="A6"/>
      <w:lang w:val="ro-MD"/>
    </w:rPr>
  </w:style>
  <w:style w:type="character" w:customStyle="1" w:styleId="Heading8Char">
    <w:name w:val="Heading 8 Char"/>
    <w:basedOn w:val="DefaultParagraphFont"/>
    <w:link w:val="Heading8"/>
    <w:uiPriority w:val="9"/>
    <w:semiHidden/>
    <w:rsid w:val="00B11304"/>
    <w:rPr>
      <w:rFonts w:eastAsiaTheme="majorEastAsia" w:cstheme="majorBidi"/>
      <w:i/>
      <w:iCs/>
      <w:color w:val="272727" w:themeColor="text1" w:themeTint="D8"/>
      <w:lang w:val="ro-MD"/>
    </w:rPr>
  </w:style>
  <w:style w:type="character" w:customStyle="1" w:styleId="Heading9Char">
    <w:name w:val="Heading 9 Char"/>
    <w:basedOn w:val="DefaultParagraphFont"/>
    <w:link w:val="Heading9"/>
    <w:uiPriority w:val="9"/>
    <w:semiHidden/>
    <w:rsid w:val="00B11304"/>
    <w:rPr>
      <w:rFonts w:eastAsiaTheme="majorEastAsia" w:cstheme="majorBidi"/>
      <w:color w:val="272727" w:themeColor="text1" w:themeTint="D8"/>
      <w:lang w:val="ro-MD"/>
    </w:rPr>
  </w:style>
  <w:style w:type="paragraph" w:styleId="Title">
    <w:name w:val="Title"/>
    <w:basedOn w:val="Normal"/>
    <w:next w:val="Normal"/>
    <w:link w:val="TitleChar"/>
    <w:uiPriority w:val="10"/>
    <w:qFormat/>
    <w:rsid w:val="00B1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304"/>
    <w:rPr>
      <w:rFonts w:asciiTheme="majorHAnsi" w:eastAsiaTheme="majorEastAsia" w:hAnsiTheme="majorHAnsi" w:cstheme="majorBidi"/>
      <w:spacing w:val="-10"/>
      <w:kern w:val="28"/>
      <w:sz w:val="56"/>
      <w:szCs w:val="56"/>
      <w:lang w:val="ro-MD"/>
    </w:rPr>
  </w:style>
  <w:style w:type="paragraph" w:styleId="Subtitle">
    <w:name w:val="Subtitle"/>
    <w:basedOn w:val="Normal"/>
    <w:next w:val="Normal"/>
    <w:link w:val="SubtitleChar"/>
    <w:uiPriority w:val="11"/>
    <w:qFormat/>
    <w:rsid w:val="00B11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304"/>
    <w:rPr>
      <w:rFonts w:eastAsiaTheme="majorEastAsia" w:cstheme="majorBidi"/>
      <w:color w:val="595959" w:themeColor="text1" w:themeTint="A6"/>
      <w:spacing w:val="15"/>
      <w:sz w:val="28"/>
      <w:szCs w:val="28"/>
      <w:lang w:val="ro-MD"/>
    </w:rPr>
  </w:style>
  <w:style w:type="paragraph" w:styleId="Quote">
    <w:name w:val="Quote"/>
    <w:basedOn w:val="Normal"/>
    <w:next w:val="Normal"/>
    <w:link w:val="QuoteChar"/>
    <w:uiPriority w:val="29"/>
    <w:qFormat/>
    <w:rsid w:val="00B11304"/>
    <w:pPr>
      <w:spacing w:before="160"/>
      <w:jc w:val="center"/>
    </w:pPr>
    <w:rPr>
      <w:i/>
      <w:iCs/>
      <w:color w:val="404040" w:themeColor="text1" w:themeTint="BF"/>
    </w:rPr>
  </w:style>
  <w:style w:type="character" w:customStyle="1" w:styleId="QuoteChar">
    <w:name w:val="Quote Char"/>
    <w:basedOn w:val="DefaultParagraphFont"/>
    <w:link w:val="Quote"/>
    <w:uiPriority w:val="29"/>
    <w:rsid w:val="00B11304"/>
    <w:rPr>
      <w:i/>
      <w:iCs/>
      <w:color w:val="404040" w:themeColor="text1" w:themeTint="BF"/>
      <w:lang w:val="ro-MD"/>
    </w:rPr>
  </w:style>
  <w:style w:type="paragraph" w:styleId="ListParagraph">
    <w:name w:val="List Paragraph"/>
    <w:basedOn w:val="Normal"/>
    <w:uiPriority w:val="34"/>
    <w:qFormat/>
    <w:rsid w:val="00B11304"/>
    <w:pPr>
      <w:ind w:left="720"/>
      <w:contextualSpacing/>
    </w:pPr>
  </w:style>
  <w:style w:type="character" w:styleId="IntenseEmphasis">
    <w:name w:val="Intense Emphasis"/>
    <w:basedOn w:val="DefaultParagraphFont"/>
    <w:uiPriority w:val="21"/>
    <w:qFormat/>
    <w:rsid w:val="00B11304"/>
    <w:rPr>
      <w:i/>
      <w:iCs/>
      <w:color w:val="0F4761" w:themeColor="accent1" w:themeShade="BF"/>
    </w:rPr>
  </w:style>
  <w:style w:type="paragraph" w:styleId="IntenseQuote">
    <w:name w:val="Intense Quote"/>
    <w:basedOn w:val="Normal"/>
    <w:next w:val="Normal"/>
    <w:link w:val="IntenseQuoteChar"/>
    <w:uiPriority w:val="30"/>
    <w:qFormat/>
    <w:rsid w:val="00B11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304"/>
    <w:rPr>
      <w:i/>
      <w:iCs/>
      <w:color w:val="0F4761" w:themeColor="accent1" w:themeShade="BF"/>
      <w:lang w:val="ro-MD"/>
    </w:rPr>
  </w:style>
  <w:style w:type="character" w:styleId="IntenseReference">
    <w:name w:val="Intense Reference"/>
    <w:basedOn w:val="DefaultParagraphFont"/>
    <w:uiPriority w:val="32"/>
    <w:qFormat/>
    <w:rsid w:val="00B11304"/>
    <w:rPr>
      <w:b/>
      <w:bCs/>
      <w:smallCaps/>
      <w:color w:val="0F4761" w:themeColor="accent1" w:themeShade="BF"/>
      <w:spacing w:val="5"/>
    </w:rPr>
  </w:style>
  <w:style w:type="table" w:styleId="TableGrid">
    <w:name w:val="Table Grid"/>
    <w:basedOn w:val="TableNormal"/>
    <w:uiPriority w:val="39"/>
    <w:rsid w:val="0090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E43"/>
    <w:rPr>
      <w:color w:val="467886" w:themeColor="hyperlink"/>
      <w:u w:val="single"/>
    </w:rPr>
  </w:style>
  <w:style w:type="paragraph" w:styleId="FootnoteText">
    <w:name w:val="footnote text"/>
    <w:aliases w:val="Geneva 9,Font: Geneva 9,Boston 10,f,fn,single space,FOOTNOTES,Footnote Text Blue,Char Char Char Char2,Footnote,otnote Text,Fußnote,ADB Char Char,ADB Char Char Char,ADB Char Char Char Char Char Char Char,A,ft Ch,Schriftart: 9 pt,FoodNote,ft"/>
    <w:basedOn w:val="Normal"/>
    <w:link w:val="FootnoteTextChar"/>
    <w:uiPriority w:val="99"/>
    <w:unhideWhenUsed/>
    <w:qFormat/>
    <w:rsid w:val="00910E43"/>
    <w:pPr>
      <w:spacing w:after="0" w:line="240" w:lineRule="auto"/>
    </w:pPr>
    <w:rPr>
      <w:sz w:val="20"/>
      <w:szCs w:val="20"/>
      <w:lang w:val="en-US"/>
    </w:rPr>
  </w:style>
  <w:style w:type="character" w:customStyle="1" w:styleId="FootnoteTextChar">
    <w:name w:val="Footnote Text Char"/>
    <w:aliases w:val="Geneva 9 Char,Font: Geneva 9 Char,Boston 10 Char,f Char,fn Char,single space Char,FOOTNOTES Char,Footnote Text Blue Char,Char Char Char Char2 Char,Footnote Char,otnote Text Char,Fußnote Char,ADB Char Char Char1,ADB Char Char Char Char"/>
    <w:basedOn w:val="DefaultParagraphFont"/>
    <w:link w:val="FootnoteText"/>
    <w:uiPriority w:val="99"/>
    <w:rsid w:val="00910E43"/>
    <w:rPr>
      <w:sz w:val="20"/>
      <w:szCs w:val="20"/>
    </w:rPr>
  </w:style>
  <w:style w:type="character" w:styleId="FootnoteReference">
    <w:name w:val="footnote reference"/>
    <w:aliases w:val="16 Point,Superscript 6 Point,Superscript 6 Point + 11 pt,ftref,BVI fnr,BVI fnr Car Car,BVI fnr Car,BVI fnr Car Car Car Car,Footnote text,Footnotes refss,Footnote Reference1,Footnote Reference Number,Footnote Reference_LVL6,No,Ref"/>
    <w:basedOn w:val="DefaultParagraphFont"/>
    <w:link w:val="CharCharCharCharCarChar"/>
    <w:uiPriority w:val="99"/>
    <w:unhideWhenUsed/>
    <w:qFormat/>
    <w:rsid w:val="00910E43"/>
    <w:rPr>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910E43"/>
    <w:pPr>
      <w:spacing w:after="240" w:line="240" w:lineRule="exact"/>
      <w:jc w:val="both"/>
    </w:pPr>
    <w:rPr>
      <w:vertAlign w:val="superscript"/>
      <w:lang w:val="en-US"/>
    </w:rPr>
  </w:style>
  <w:style w:type="paragraph" w:styleId="Revision">
    <w:name w:val="Revision"/>
    <w:hidden/>
    <w:uiPriority w:val="99"/>
    <w:semiHidden/>
    <w:rsid w:val="00294B0C"/>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2688</Words>
  <Characters>15864</Characters>
  <Application>Microsoft Office Word</Application>
  <DocSecurity>0</DocSecurity>
  <Lines>480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9</cp:revision>
  <dcterms:created xsi:type="dcterms:W3CDTF">2026-02-24T12:56:00Z</dcterms:created>
  <dcterms:modified xsi:type="dcterms:W3CDTF">2026-02-26T09:28:00Z</dcterms:modified>
</cp:coreProperties>
</file>