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36" w:type="dxa"/>
        <w:tblLook w:val="04A0" w:firstRow="1" w:lastRow="0" w:firstColumn="1" w:lastColumn="0" w:noHBand="0" w:noVBand="1"/>
      </w:tblPr>
      <w:tblGrid>
        <w:gridCol w:w="611"/>
        <w:gridCol w:w="8543"/>
        <w:gridCol w:w="3882"/>
      </w:tblGrid>
      <w:tr w:rsidR="00D9129A" w:rsidRPr="0048156D" w14:paraId="0E9A156B" w14:textId="77777777" w:rsidTr="00C25B82">
        <w:tc>
          <w:tcPr>
            <w:tcW w:w="611" w:type="dxa"/>
          </w:tcPr>
          <w:p w14:paraId="54015840" w14:textId="77777777" w:rsidR="00D9129A" w:rsidRPr="00C25B82" w:rsidRDefault="00D9129A">
            <w:pPr>
              <w:rPr>
                <w:rFonts w:ascii="Times New Roman" w:hAnsi="Times New Roman" w:cs="Times New Roman"/>
                <w:sz w:val="22"/>
                <w:szCs w:val="22"/>
              </w:rPr>
            </w:pPr>
          </w:p>
        </w:tc>
        <w:tc>
          <w:tcPr>
            <w:tcW w:w="12425" w:type="dxa"/>
            <w:gridSpan w:val="2"/>
          </w:tcPr>
          <w:p w14:paraId="6880459F" w14:textId="77777777" w:rsidR="003E4669" w:rsidRPr="00C25B82" w:rsidRDefault="003E4669" w:rsidP="00D9129A">
            <w:pPr>
              <w:jc w:val="center"/>
              <w:rPr>
                <w:rFonts w:ascii="Times New Roman" w:hAnsi="Times New Roman" w:cs="Times New Roman"/>
                <w:b/>
                <w:bCs/>
                <w:sz w:val="22"/>
                <w:szCs w:val="22"/>
              </w:rPr>
            </w:pPr>
          </w:p>
          <w:p w14:paraId="247863DC" w14:textId="77777777" w:rsidR="00D9129A" w:rsidRPr="0048156D" w:rsidRDefault="00D9129A" w:rsidP="00D9129A">
            <w:pPr>
              <w:jc w:val="center"/>
              <w:rPr>
                <w:rFonts w:ascii="Times New Roman" w:hAnsi="Times New Roman" w:cs="Times New Roman"/>
                <w:b/>
                <w:bCs/>
                <w:sz w:val="22"/>
                <w:szCs w:val="22"/>
              </w:rPr>
            </w:pPr>
            <w:r w:rsidRPr="0048156D">
              <w:rPr>
                <w:rFonts w:ascii="Times New Roman" w:hAnsi="Times New Roman" w:cs="Times New Roman"/>
                <w:b/>
                <w:bCs/>
                <w:sz w:val="22"/>
                <w:szCs w:val="22"/>
              </w:rPr>
              <w:t>Ministerul Mediului, Apelor și Pădurilor din România</w:t>
            </w:r>
          </w:p>
          <w:p w14:paraId="618D8E54" w14:textId="0CF9DC2C" w:rsidR="003E4669" w:rsidRPr="0048156D" w:rsidRDefault="003E4669" w:rsidP="00D9129A">
            <w:pPr>
              <w:jc w:val="center"/>
              <w:rPr>
                <w:rFonts w:ascii="Times New Roman" w:hAnsi="Times New Roman" w:cs="Times New Roman"/>
                <w:b/>
                <w:bCs/>
                <w:sz w:val="22"/>
                <w:szCs w:val="22"/>
              </w:rPr>
            </w:pPr>
          </w:p>
        </w:tc>
      </w:tr>
      <w:tr w:rsidR="00903180" w:rsidRPr="0048156D" w14:paraId="39CB3529" w14:textId="77777777" w:rsidTr="00C25B82">
        <w:tc>
          <w:tcPr>
            <w:tcW w:w="611" w:type="dxa"/>
          </w:tcPr>
          <w:p w14:paraId="483468BC" w14:textId="228A7E89"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1</w:t>
            </w:r>
          </w:p>
        </w:tc>
        <w:tc>
          <w:tcPr>
            <w:tcW w:w="12425" w:type="dxa"/>
            <w:gridSpan w:val="2"/>
          </w:tcPr>
          <w:p w14:paraId="0C126C23" w14:textId="25D110C7" w:rsidR="00903180" w:rsidRPr="0048156D" w:rsidRDefault="00903180" w:rsidP="00903180">
            <w:pPr>
              <w:jc w:val="center"/>
              <w:rPr>
                <w:rFonts w:ascii="Times New Roman" w:hAnsi="Times New Roman" w:cs="Times New Roman"/>
                <w:b/>
                <w:bCs/>
                <w:sz w:val="22"/>
                <w:szCs w:val="22"/>
              </w:rPr>
            </w:pPr>
            <w:r w:rsidRPr="0048156D">
              <w:rPr>
                <w:rFonts w:ascii="Times New Roman" w:hAnsi="Times New Roman" w:cs="Times New Roman"/>
                <w:b/>
                <w:bCs/>
                <w:sz w:val="22"/>
                <w:szCs w:val="22"/>
              </w:rPr>
              <w:t xml:space="preserve">Decarbonizarea sectorului energetic, stocarea geologică a dioxidului de carbon </w:t>
            </w:r>
            <w:r w:rsidR="003E4669" w:rsidRPr="0048156D">
              <w:rPr>
                <w:rFonts w:ascii="Times New Roman" w:hAnsi="Times New Roman" w:cs="Times New Roman"/>
                <w:b/>
                <w:bCs/>
                <w:sz w:val="22"/>
                <w:szCs w:val="22"/>
              </w:rPr>
              <w:t>și</w:t>
            </w:r>
            <w:r w:rsidRPr="0048156D">
              <w:rPr>
                <w:rFonts w:ascii="Times New Roman" w:hAnsi="Times New Roman" w:cs="Times New Roman"/>
                <w:b/>
                <w:bCs/>
                <w:sz w:val="22"/>
                <w:szCs w:val="22"/>
              </w:rPr>
              <w:t xml:space="preserve"> corelarea politicilor energetice cu obiectivele climatice</w:t>
            </w:r>
          </w:p>
        </w:tc>
      </w:tr>
      <w:tr w:rsidR="00903180" w:rsidRPr="0048156D" w14:paraId="6DD8F904" w14:textId="77777777" w:rsidTr="00C25B82">
        <w:tc>
          <w:tcPr>
            <w:tcW w:w="611" w:type="dxa"/>
          </w:tcPr>
          <w:p w14:paraId="43C33372" w14:textId="554F4992"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1.1</w:t>
            </w:r>
          </w:p>
        </w:tc>
        <w:tc>
          <w:tcPr>
            <w:tcW w:w="8543" w:type="dxa"/>
          </w:tcPr>
          <w:p w14:paraId="3299762E" w14:textId="5C882E62"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 xml:space="preserve">Integrarea explicită a stocării geologice a dioxidului de carbon în arhitectura strategică și în cadrul normativ aplicabil Strategia Energetica a Republicii Moldova pentru perioada 2025-2050 abordează tranziția energetică și reducerea emisiilor de gaze cu efect de seră, însă rolul stocării geologice a dioxidului de carbon este tratat insuficient sau implicit, fără a fi raportat explicit la cadrul normativ european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w:t>
            </w:r>
            <w:r w:rsidR="00B65BDB" w:rsidRPr="0048156D">
              <w:rPr>
                <w:rFonts w:ascii="Times New Roman" w:hAnsi="Times New Roman" w:cs="Times New Roman"/>
                <w:sz w:val="22"/>
                <w:szCs w:val="22"/>
              </w:rPr>
              <w:t>național</w:t>
            </w:r>
            <w:r w:rsidRPr="0048156D">
              <w:rPr>
                <w:rFonts w:ascii="Times New Roman" w:hAnsi="Times New Roman" w:cs="Times New Roman"/>
                <w:sz w:val="22"/>
                <w:szCs w:val="22"/>
              </w:rPr>
              <w:t xml:space="preserve"> relevant.</w:t>
            </w:r>
          </w:p>
        </w:tc>
        <w:tc>
          <w:tcPr>
            <w:tcW w:w="3882" w:type="dxa"/>
          </w:tcPr>
          <w:p w14:paraId="75E1E32E" w14:textId="77777777" w:rsidR="00294B0C" w:rsidRPr="0048156D" w:rsidRDefault="00294B0C" w:rsidP="00294B0C">
            <w:pPr>
              <w:rPr>
                <w:rFonts w:ascii="Times New Roman" w:hAnsi="Times New Roman" w:cs="Times New Roman"/>
                <w:sz w:val="22"/>
                <w:szCs w:val="22"/>
                <w:lang w:val="ro-RO"/>
              </w:rPr>
            </w:pPr>
            <w:r w:rsidRPr="0048156D">
              <w:rPr>
                <w:rFonts w:ascii="Times New Roman" w:hAnsi="Times New Roman" w:cs="Times New Roman"/>
                <w:sz w:val="22"/>
                <w:szCs w:val="22"/>
              </w:rPr>
              <w:t>Se accept</w:t>
            </w:r>
            <w:r w:rsidRPr="0048156D">
              <w:rPr>
                <w:rFonts w:ascii="Times New Roman" w:hAnsi="Times New Roman" w:cs="Times New Roman"/>
                <w:sz w:val="22"/>
                <w:szCs w:val="22"/>
                <w:lang w:val="ro-RO"/>
              </w:rPr>
              <w:t>ă.</w:t>
            </w:r>
          </w:p>
          <w:p w14:paraId="44578D6A" w14:textId="0A64523E" w:rsidR="00C25B82" w:rsidRPr="0048156D" w:rsidRDefault="00294B0C" w:rsidP="00294B0C">
            <w:pPr>
              <w:rPr>
                <w:rFonts w:ascii="Times New Roman" w:hAnsi="Times New Roman" w:cs="Times New Roman"/>
                <w:sz w:val="22"/>
                <w:szCs w:val="22"/>
                <w:lang w:val="ro-RO"/>
              </w:rPr>
            </w:pPr>
            <w:r w:rsidRPr="0048156D">
              <w:rPr>
                <w:rFonts w:ascii="Times New Roman" w:hAnsi="Times New Roman" w:cs="Times New Roman"/>
                <w:sz w:val="22"/>
                <w:szCs w:val="22"/>
                <w:lang w:val="ro-RO"/>
              </w:rPr>
              <w:t>A fost integrat textul în cadrul Direcției Prioritare 4.9 privind analiza stocării geologice a carbonului.</w:t>
            </w:r>
          </w:p>
        </w:tc>
      </w:tr>
      <w:tr w:rsidR="00903180" w:rsidRPr="0048156D" w14:paraId="7BDB0E53" w14:textId="77777777" w:rsidTr="00C25B82">
        <w:tc>
          <w:tcPr>
            <w:tcW w:w="611" w:type="dxa"/>
          </w:tcPr>
          <w:p w14:paraId="37D602AB" w14:textId="1A2A520F"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1.2</w:t>
            </w:r>
          </w:p>
        </w:tc>
        <w:tc>
          <w:tcPr>
            <w:tcW w:w="8543" w:type="dxa"/>
          </w:tcPr>
          <w:p w14:paraId="76638B30" w14:textId="77777777" w:rsidR="009741AC"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 xml:space="preserve">Corelarea obiectivelor Strategiei Energetice a Republicii Moldova pentru perioada 2025- 2050 cu </w:t>
            </w:r>
            <w:r w:rsidR="00B65BDB" w:rsidRPr="0048156D">
              <w:rPr>
                <w:rFonts w:ascii="Times New Roman" w:hAnsi="Times New Roman" w:cs="Times New Roman"/>
                <w:sz w:val="22"/>
                <w:szCs w:val="22"/>
              </w:rPr>
              <w:t>concluziile</w:t>
            </w:r>
            <w:r w:rsidRPr="0048156D">
              <w:rPr>
                <w:rFonts w:ascii="Times New Roman" w:hAnsi="Times New Roman" w:cs="Times New Roman"/>
                <w:sz w:val="22"/>
                <w:szCs w:val="22"/>
              </w:rPr>
              <w:t xml:space="preserv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recomandările din Raportul privind evaluarea Strategică de Mediu (ESM)</w:t>
            </w:r>
            <w:r w:rsidR="009741AC" w:rsidRPr="0048156D">
              <w:rPr>
                <w:rFonts w:ascii="Times New Roman" w:hAnsi="Times New Roman" w:cs="Times New Roman"/>
                <w:sz w:val="22"/>
                <w:szCs w:val="22"/>
              </w:rPr>
              <w:t>.</w:t>
            </w:r>
            <w:r w:rsidRPr="0048156D">
              <w:rPr>
                <w:rFonts w:ascii="Times New Roman" w:hAnsi="Times New Roman" w:cs="Times New Roman"/>
                <w:sz w:val="22"/>
                <w:szCs w:val="22"/>
              </w:rPr>
              <w:t xml:space="preserve"> </w:t>
            </w:r>
          </w:p>
          <w:p w14:paraId="28312979" w14:textId="12843EA2"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 xml:space="preserve">Raportul privind Evaluarea Strategică de Mediu identifică impacturi potențiale asupra factorilor de mediu (sol, subsol, ape subterane, climă) asociate dezvoltării infrastructurii energetice. În acest context, se recomandă ca Strategia Energetică 2025-2050 să preia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să reflecte explicit măsurile de prevenire, reducere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compensare propuse în ESM, în special în capitolele referitoare la: dezvoltarea infrastructurii energetice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utilizarea terenurilor; exploatarea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utilizarea resurselor subsolului; măsurile de reducere a emisiilor de gaze cu efect de seră. În acest sens, un exemplu de corelare ar putea fi: în capitolul din Strategia Energetică dedicat decarbonizării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tranziției energetice, ar fi oportună includerea unei trimiteri explicite la concluziile ESM privind rolul tehnologiilor de captare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stocare a CO2 în diminuarea impactului cumulativ asupra climei.</w:t>
            </w:r>
          </w:p>
        </w:tc>
        <w:tc>
          <w:tcPr>
            <w:tcW w:w="3882" w:type="dxa"/>
          </w:tcPr>
          <w:p w14:paraId="15316CC8" w14:textId="77777777" w:rsidR="00C950DC" w:rsidRPr="0048156D" w:rsidRDefault="00C950DC" w:rsidP="00C950DC">
            <w:pPr>
              <w:jc w:val="both"/>
              <w:rPr>
                <w:rFonts w:ascii="Times New Roman" w:hAnsi="Times New Roman" w:cs="Times New Roman"/>
                <w:sz w:val="22"/>
                <w:szCs w:val="22"/>
              </w:rPr>
            </w:pPr>
            <w:r w:rsidRPr="0048156D">
              <w:rPr>
                <w:rFonts w:ascii="Times New Roman" w:hAnsi="Times New Roman" w:cs="Times New Roman"/>
                <w:sz w:val="22"/>
                <w:szCs w:val="22"/>
              </w:rPr>
              <w:t>Măsuri generale privind implementarea proiectelor:</w:t>
            </w:r>
          </w:p>
          <w:p w14:paraId="2426E297" w14:textId="77777777" w:rsidR="00C950DC" w:rsidRPr="0048156D" w:rsidRDefault="00C950DC" w:rsidP="00C950DC">
            <w:pPr>
              <w:ind w:left="567" w:hanging="283"/>
              <w:jc w:val="both"/>
              <w:rPr>
                <w:rFonts w:ascii="Times New Roman" w:hAnsi="Times New Roman" w:cs="Times New Roman"/>
                <w:sz w:val="22"/>
                <w:szCs w:val="22"/>
              </w:rPr>
            </w:pPr>
            <w:r w:rsidRPr="0048156D">
              <w:rPr>
                <w:rFonts w:ascii="Times New Roman" w:hAnsi="Times New Roman" w:cs="Times New Roman"/>
                <w:sz w:val="22"/>
                <w:szCs w:val="22"/>
              </w:rPr>
              <w:t>• Etapizarea lucrărilor de construcție a proiectelor din aceeași zonă sau a celor amplasate în zone adiacente și corelarea măsurilor de prevenire, reducere, compensare (dacă este cazul) cu cele stabilite în urma evaluărilor pentru alte strategii, planuri și programe;</w:t>
            </w:r>
          </w:p>
          <w:p w14:paraId="02CF7B99" w14:textId="77777777" w:rsidR="00C950DC" w:rsidRPr="0048156D" w:rsidRDefault="00C950DC" w:rsidP="00C950DC">
            <w:pPr>
              <w:ind w:left="567" w:hanging="283"/>
              <w:jc w:val="both"/>
              <w:rPr>
                <w:rFonts w:ascii="Times New Roman" w:hAnsi="Times New Roman" w:cs="Times New Roman"/>
                <w:sz w:val="22"/>
                <w:szCs w:val="22"/>
              </w:rPr>
            </w:pPr>
            <w:r w:rsidRPr="0048156D">
              <w:rPr>
                <w:rFonts w:ascii="Times New Roman" w:hAnsi="Times New Roman" w:cs="Times New Roman"/>
                <w:sz w:val="22"/>
                <w:szCs w:val="22"/>
              </w:rPr>
              <w:t>• În funcție de caracteristicile, tipul, amploarea și localizarea proiectelor, realizarea evaluării impactului asupra mediului, (inclusiv aspecte legate de conservarea biodiversității)- recomandarea se referă în principal la tipurile de proiecte pentru care s-au identificat potențiale efecte negative sau semnificativ negative în cadrul evaluării realizate pentru SERM 2025-2050 (prezentate în Capitolul 8);</w:t>
            </w:r>
          </w:p>
          <w:p w14:paraId="6CC54DA8" w14:textId="77777777" w:rsidR="00C950DC" w:rsidRPr="0048156D" w:rsidRDefault="00C950DC" w:rsidP="00C950DC">
            <w:pPr>
              <w:ind w:left="567" w:hanging="283"/>
              <w:jc w:val="both"/>
              <w:rPr>
                <w:rFonts w:ascii="Times New Roman" w:hAnsi="Times New Roman" w:cs="Times New Roman"/>
                <w:sz w:val="22"/>
                <w:szCs w:val="22"/>
              </w:rPr>
            </w:pPr>
            <w:r w:rsidRPr="0048156D">
              <w:rPr>
                <w:rFonts w:ascii="Times New Roman" w:hAnsi="Times New Roman" w:cs="Times New Roman"/>
                <w:sz w:val="22"/>
                <w:szCs w:val="22"/>
              </w:rPr>
              <w:t xml:space="preserve">• Abordarea tuturor aspectelor care privesc etapa de construcție în cadrul evaluărilor privind impactul </w:t>
            </w:r>
            <w:r w:rsidRPr="0048156D">
              <w:rPr>
                <w:rFonts w:ascii="Times New Roman" w:hAnsi="Times New Roman" w:cs="Times New Roman"/>
                <w:sz w:val="22"/>
                <w:szCs w:val="22"/>
              </w:rPr>
              <w:lastRenderedPageBreak/>
              <w:t>asupra mediului pornind de la amplasarea organizării de șantier până la zonele în care urmează să se facă defrișări (dacă sunt absolut necesare pentru realizarea proiectului), carierele și/sau balastierele ce urmează a fi deschise pentru obținerea materiilor prime, construcția de drumuri tehnologice, asigurarea utilităților. Etapa de construcție trebuie să fie evaluată din punctul de vedere al impactului asupra mediului cu considerarea condițiilor specifice de amplasament iar măsurile propuse se vor adresa inclusiv acelor aspecte care au în vedere eliminarea sau cel puțin la reducerea interferențelor posibile cu mediul din vecinătate: activități curente ale locuitorilor din zonă (comerciale, sociale, agricole, industriale), zone de recreere sau destinate activităților de agrement, zone sensibile de tipul unităților de învățământ, unităților sanitare, zone cu arii naturale protejate;</w:t>
            </w:r>
          </w:p>
          <w:p w14:paraId="68412542" w14:textId="77777777" w:rsidR="00C950DC" w:rsidRPr="0048156D" w:rsidRDefault="00C950DC" w:rsidP="00C950DC">
            <w:pPr>
              <w:ind w:left="567" w:hanging="283"/>
              <w:jc w:val="both"/>
              <w:rPr>
                <w:rFonts w:ascii="Times New Roman" w:hAnsi="Times New Roman" w:cs="Times New Roman"/>
                <w:sz w:val="22"/>
                <w:szCs w:val="22"/>
              </w:rPr>
            </w:pPr>
            <w:r w:rsidRPr="0048156D">
              <w:rPr>
                <w:rFonts w:ascii="Times New Roman" w:hAnsi="Times New Roman" w:cs="Times New Roman"/>
                <w:sz w:val="22"/>
                <w:szCs w:val="22"/>
              </w:rPr>
              <w:t xml:space="preserve">• Evitarea amplasării proiectelor în interiorul sau imediata vecinătate a ariilor naturale protejate; în cazul în care acest fapt nu poate fi evitat, stabilirea măsurilor corespunzătoare luând în considerare prevederile planurilor de management ale ariilor protejate </w:t>
            </w:r>
            <w:r w:rsidRPr="0048156D">
              <w:rPr>
                <w:rFonts w:ascii="Times New Roman" w:hAnsi="Times New Roman" w:cs="Times New Roman"/>
                <w:sz w:val="22"/>
                <w:szCs w:val="22"/>
              </w:rPr>
              <w:lastRenderedPageBreak/>
              <w:t>sau prin aplicarea măsurilor de evitare, reducere, compensare a efectelor semnificative asupra mediului;</w:t>
            </w:r>
          </w:p>
          <w:p w14:paraId="1C8A076D" w14:textId="77777777" w:rsidR="00903180" w:rsidRPr="0048156D" w:rsidRDefault="00C950DC" w:rsidP="00C950DC">
            <w:pPr>
              <w:rPr>
                <w:rFonts w:ascii="Times New Roman" w:hAnsi="Times New Roman" w:cs="Times New Roman"/>
                <w:sz w:val="22"/>
                <w:szCs w:val="22"/>
                <w:lang w:val="en-US"/>
              </w:rPr>
            </w:pPr>
            <w:r w:rsidRPr="0048156D">
              <w:rPr>
                <w:rFonts w:ascii="Times New Roman" w:hAnsi="Times New Roman" w:cs="Times New Roman"/>
                <w:sz w:val="22"/>
                <w:szCs w:val="22"/>
              </w:rPr>
              <w:t>• Realizarea unor planuri de management de mediu pentru proiecte astfel încât pe toată durata acestuia (etapa de proiectare, construcție și operare) să poată fi evaluate performanțele de mediu.</w:t>
            </w:r>
          </w:p>
          <w:p w14:paraId="16342495" w14:textId="79D2C26B"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Alegerea amplasamentelor astfel încât distanțele de transport să fie cât mai scurte</w:t>
            </w:r>
          </w:p>
          <w:p w14:paraId="3D82B379" w14:textId="5A2BEC8B"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Evitarea zonelor sensibile din perspectiva calității aerului atunci când proiectele implică emisii ridicate, atât în faza de construcție, cât și în cea de operare</w:t>
            </w:r>
          </w:p>
          <w:p w14:paraId="754E204A" w14:textId="5139BDFA"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Excluderea zonelor expuse riscului de inundații; dacă acest lucru nu este posibil, includerea măsurilor necesare de protecție împotriva inundațiilor</w:t>
            </w:r>
          </w:p>
          <w:p w14:paraId="0BF657D0" w14:textId="58E2E14A"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Evitarea implementării proiectelor care ar putea altera starea chimică sau ecologică a corpurilor de apă</w:t>
            </w:r>
          </w:p>
          <w:p w14:paraId="02171DBB" w14:textId="00E742E5"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Alegerea amplasamentelor ținând cont de toate utilizările de apă din aval, existente sau planificate (apă potabilă, industrială, irigații, piscicultură, agrement etc.)</w:t>
            </w:r>
          </w:p>
          <w:p w14:paraId="1BEF8B59" w14:textId="1E25B83D"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Limitarea ocupării temporare a terenurilor în timpul construcției</w:t>
            </w:r>
            <w:r w:rsidR="002C1EAE" w:rsidRPr="0048156D">
              <w:rPr>
                <w:rFonts w:ascii="Times New Roman" w:hAnsi="Times New Roman" w:cs="Times New Roman"/>
                <w:sz w:val="22"/>
                <w:szCs w:val="22"/>
              </w:rPr>
              <w:t>.</w:t>
            </w:r>
          </w:p>
          <w:p w14:paraId="6547CB72" w14:textId="2819BA47"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Evaluarea necesității modificării categoriei de folosință a terenului astfel încât activitățile existente să nu fie afectate</w:t>
            </w:r>
            <w:r w:rsidR="002C1EAE" w:rsidRPr="0048156D">
              <w:rPr>
                <w:rFonts w:ascii="Times New Roman" w:hAnsi="Times New Roman" w:cs="Times New Roman"/>
                <w:sz w:val="22"/>
                <w:szCs w:val="22"/>
              </w:rPr>
              <w:t>.</w:t>
            </w:r>
          </w:p>
          <w:p w14:paraId="6FDA18F5" w14:textId="7E0BFF85"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Refacerea amplasamentelor imediat după finalizarea lucrărilor de construcție</w:t>
            </w:r>
            <w:r w:rsidR="002C1EAE" w:rsidRPr="0048156D">
              <w:rPr>
                <w:rFonts w:ascii="Times New Roman" w:hAnsi="Times New Roman" w:cs="Times New Roman"/>
                <w:sz w:val="22"/>
                <w:szCs w:val="22"/>
              </w:rPr>
              <w:t>.</w:t>
            </w:r>
          </w:p>
          <w:p w14:paraId="52941D63" w14:textId="2D568754"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lastRenderedPageBreak/>
              <w:t>În proiectele de parcuri fotovoltaice și eoliene</w:t>
            </w:r>
            <w:r w:rsidRPr="0048156D">
              <w:rPr>
                <w:rStyle w:val="FootnoteReference"/>
                <w:rFonts w:ascii="Times New Roman" w:hAnsi="Times New Roman" w:cs="Times New Roman"/>
                <w:sz w:val="22"/>
                <w:szCs w:val="22"/>
              </w:rPr>
              <w:footnoteReference w:id="1"/>
            </w:r>
            <w:r w:rsidRPr="0048156D">
              <w:rPr>
                <w:rFonts w:ascii="Times New Roman" w:hAnsi="Times New Roman" w:cs="Times New Roman"/>
                <w:sz w:val="22"/>
                <w:szCs w:val="22"/>
              </w:rPr>
              <w:t xml:space="preserve">, selectarea locațiilor pentru a proteja habitatele și speciile sensibile, aplicând principiile </w:t>
            </w:r>
            <w:proofErr w:type="spellStart"/>
            <w:r w:rsidRPr="0048156D">
              <w:rPr>
                <w:rFonts w:ascii="Times New Roman" w:hAnsi="Times New Roman" w:cs="Times New Roman"/>
                <w:i/>
                <w:iCs/>
                <w:sz w:val="22"/>
                <w:szCs w:val="22"/>
              </w:rPr>
              <w:t>no</w:t>
            </w:r>
            <w:proofErr w:type="spellEnd"/>
            <w:r w:rsidRPr="0048156D">
              <w:rPr>
                <w:rFonts w:ascii="Times New Roman" w:hAnsi="Times New Roman" w:cs="Times New Roman"/>
                <w:i/>
                <w:iCs/>
                <w:sz w:val="22"/>
                <w:szCs w:val="22"/>
              </w:rPr>
              <w:t xml:space="preserve"> net </w:t>
            </w:r>
            <w:proofErr w:type="spellStart"/>
            <w:r w:rsidRPr="0048156D">
              <w:rPr>
                <w:rFonts w:ascii="Times New Roman" w:hAnsi="Times New Roman" w:cs="Times New Roman"/>
                <w:i/>
                <w:iCs/>
                <w:sz w:val="22"/>
                <w:szCs w:val="22"/>
              </w:rPr>
              <w:t>loss</w:t>
            </w:r>
            <w:proofErr w:type="spellEnd"/>
            <w:r w:rsidRPr="0048156D">
              <w:rPr>
                <w:rFonts w:ascii="Times New Roman" w:hAnsi="Times New Roman" w:cs="Times New Roman"/>
                <w:i/>
                <w:iCs/>
                <w:sz w:val="22"/>
                <w:szCs w:val="22"/>
              </w:rPr>
              <w:t xml:space="preserve">/net </w:t>
            </w:r>
            <w:proofErr w:type="spellStart"/>
            <w:r w:rsidRPr="0048156D">
              <w:rPr>
                <w:rFonts w:ascii="Times New Roman" w:hAnsi="Times New Roman" w:cs="Times New Roman"/>
                <w:i/>
                <w:iCs/>
                <w:sz w:val="22"/>
                <w:szCs w:val="22"/>
              </w:rPr>
              <w:t>gain</w:t>
            </w:r>
            <w:proofErr w:type="spellEnd"/>
            <w:r w:rsidRPr="0048156D">
              <w:rPr>
                <w:rStyle w:val="FootnoteReference"/>
                <w:rFonts w:ascii="Times New Roman" w:hAnsi="Times New Roman" w:cs="Times New Roman"/>
                <w:i/>
                <w:iCs/>
                <w:sz w:val="22"/>
                <w:szCs w:val="22"/>
              </w:rPr>
              <w:footnoteReference w:id="2"/>
            </w:r>
            <w:r w:rsidRPr="0048156D">
              <w:rPr>
                <w:rFonts w:ascii="Times New Roman" w:hAnsi="Times New Roman" w:cs="Times New Roman"/>
                <w:sz w:val="22"/>
                <w:szCs w:val="22"/>
              </w:rPr>
              <w:t xml:space="preserve"> și </w:t>
            </w:r>
            <w:proofErr w:type="spellStart"/>
            <w:r w:rsidRPr="0048156D">
              <w:rPr>
                <w:rFonts w:ascii="Times New Roman" w:hAnsi="Times New Roman" w:cs="Times New Roman"/>
                <w:i/>
                <w:iCs/>
                <w:sz w:val="22"/>
                <w:szCs w:val="22"/>
              </w:rPr>
              <w:t>micrositing</w:t>
            </w:r>
            <w:proofErr w:type="spellEnd"/>
            <w:r w:rsidRPr="0048156D">
              <w:rPr>
                <w:rFonts w:ascii="Times New Roman" w:hAnsi="Times New Roman" w:cs="Times New Roman"/>
                <w:sz w:val="22"/>
                <w:szCs w:val="22"/>
              </w:rPr>
              <w:t xml:space="preserve"> în fazele de construcție, operare și dezafectare</w:t>
            </w:r>
            <w:r w:rsidR="002C1EAE" w:rsidRPr="0048156D">
              <w:rPr>
                <w:rFonts w:ascii="Times New Roman" w:hAnsi="Times New Roman" w:cs="Times New Roman"/>
                <w:sz w:val="22"/>
                <w:szCs w:val="22"/>
              </w:rPr>
              <w:t>.</w:t>
            </w:r>
          </w:p>
          <w:p w14:paraId="198EC12B" w14:textId="13AD98B1"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Amplasarea turbinelor eoliene ținând cont de migrația păsărilor</w:t>
            </w:r>
            <w:r w:rsidRPr="0048156D">
              <w:rPr>
                <w:rStyle w:val="FootnoteReference"/>
                <w:rFonts w:ascii="Times New Roman" w:hAnsi="Times New Roman" w:cs="Times New Roman"/>
                <w:sz w:val="22"/>
                <w:szCs w:val="22"/>
              </w:rPr>
              <w:footnoteReference w:id="3"/>
            </w:r>
            <w:r w:rsidRPr="0048156D">
              <w:rPr>
                <w:rFonts w:ascii="Times New Roman" w:hAnsi="Times New Roman" w:cs="Times New Roman"/>
                <w:sz w:val="22"/>
                <w:szCs w:val="22"/>
              </w:rPr>
              <w:t xml:space="preserve"> și liliecilor, cu consultarea experților</w:t>
            </w:r>
          </w:p>
          <w:p w14:paraId="1B9A4883" w14:textId="0A08C2D5"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Implementarea programelor de monitorizare a aerului, apei și zgomotului și aplicarea măsurilor pentru reducerea impactului asupra sănătății umane</w:t>
            </w:r>
          </w:p>
          <w:p w14:paraId="203FC2FA" w14:textId="28A23C51"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Coordonarea măsurilor de prevenire a inundațiilor cu strategiile și planurile urbanistice existente</w:t>
            </w:r>
          </w:p>
          <w:p w14:paraId="21B462B3" w14:textId="3B4FD16C"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Reducerea emisiilor asociate utilizării biomasei</w:t>
            </w:r>
          </w:p>
          <w:p w14:paraId="373E8040" w14:textId="73CADDD4" w:rsidR="00910E43" w:rsidRPr="0048156D" w:rsidRDefault="00910E43" w:rsidP="00C950DC">
            <w:pPr>
              <w:rPr>
                <w:rFonts w:ascii="Times New Roman" w:hAnsi="Times New Roman" w:cs="Times New Roman"/>
                <w:sz w:val="22"/>
                <w:szCs w:val="22"/>
                <w:lang w:val="en-US"/>
              </w:rPr>
            </w:pPr>
            <w:r w:rsidRPr="0048156D">
              <w:rPr>
                <w:rFonts w:ascii="Times New Roman" w:hAnsi="Times New Roman" w:cs="Times New Roman"/>
                <w:sz w:val="22"/>
                <w:szCs w:val="22"/>
              </w:rPr>
              <w:t>Prevenirea impactului asupra păsărilor în utilizarea biomasei agricole</w:t>
            </w:r>
          </w:p>
          <w:p w14:paraId="0110C826" w14:textId="263F563B" w:rsidR="00910E43" w:rsidRPr="0048156D" w:rsidRDefault="00910E43" w:rsidP="00C950DC">
            <w:pPr>
              <w:rPr>
                <w:rFonts w:ascii="Times New Roman" w:hAnsi="Times New Roman" w:cs="Times New Roman"/>
                <w:sz w:val="22"/>
                <w:szCs w:val="22"/>
                <w:lang w:val="en-US"/>
              </w:rPr>
            </w:pPr>
          </w:p>
        </w:tc>
      </w:tr>
      <w:tr w:rsidR="00903180" w:rsidRPr="0048156D" w14:paraId="20A998CF" w14:textId="77777777" w:rsidTr="00C25B82">
        <w:tc>
          <w:tcPr>
            <w:tcW w:w="611" w:type="dxa"/>
          </w:tcPr>
          <w:p w14:paraId="1DC19305" w14:textId="0AE85D1A"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lastRenderedPageBreak/>
              <w:t>1.3</w:t>
            </w:r>
          </w:p>
        </w:tc>
        <w:tc>
          <w:tcPr>
            <w:tcW w:w="8543" w:type="dxa"/>
          </w:tcPr>
          <w:p w14:paraId="2631F86A" w14:textId="16A95474"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 xml:space="preserve">Alternative strategice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scenarii analizate Analiza alternativelor din Raportul ESM ar putea fi consolidată prin includerea explicită a scenariilor care presupun utilizarea stocării geologice a CO₂. Aceasta ar permite: o evaluare mai completă a opțiunilor de decarbonizare; compararea impactului asupra mediului între scenariile cu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fără captarea și stocarea dioxidului de carbon/captarea, utilizarea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stocarea carbonului; fundamentarea mai solidă a </w:t>
            </w:r>
            <w:r w:rsidR="00B65BDB" w:rsidRPr="0048156D">
              <w:rPr>
                <w:rFonts w:ascii="Times New Roman" w:hAnsi="Times New Roman" w:cs="Times New Roman"/>
                <w:sz w:val="22"/>
                <w:szCs w:val="22"/>
              </w:rPr>
              <w:t>opțiunilor</w:t>
            </w:r>
            <w:r w:rsidRPr="0048156D">
              <w:rPr>
                <w:rFonts w:ascii="Times New Roman" w:hAnsi="Times New Roman" w:cs="Times New Roman"/>
                <w:sz w:val="22"/>
                <w:szCs w:val="22"/>
              </w:rPr>
              <w:t xml:space="preserve"> strategice propuse în Strategia </w:t>
            </w:r>
            <w:r w:rsidR="00B65BDB" w:rsidRPr="0048156D">
              <w:rPr>
                <w:rFonts w:ascii="Times New Roman" w:hAnsi="Times New Roman" w:cs="Times New Roman"/>
                <w:sz w:val="22"/>
                <w:szCs w:val="22"/>
              </w:rPr>
              <w:t>Energetică</w:t>
            </w:r>
            <w:r w:rsidRPr="0048156D">
              <w:rPr>
                <w:rFonts w:ascii="Times New Roman" w:hAnsi="Times New Roman" w:cs="Times New Roman"/>
                <w:sz w:val="22"/>
                <w:szCs w:val="22"/>
              </w:rPr>
              <w:t xml:space="preserve"> 2025-2050.</w:t>
            </w:r>
          </w:p>
        </w:tc>
        <w:tc>
          <w:tcPr>
            <w:tcW w:w="3882" w:type="dxa"/>
          </w:tcPr>
          <w:p w14:paraId="2FECD6E6" w14:textId="77777777" w:rsidR="00294B0C" w:rsidRPr="0048156D" w:rsidRDefault="00294B0C" w:rsidP="00294B0C">
            <w:pPr>
              <w:rPr>
                <w:rFonts w:ascii="Times New Roman" w:hAnsi="Times New Roman" w:cs="Times New Roman"/>
                <w:b/>
                <w:bCs/>
                <w:sz w:val="22"/>
                <w:szCs w:val="22"/>
              </w:rPr>
            </w:pPr>
            <w:r w:rsidRPr="0048156D">
              <w:rPr>
                <w:rFonts w:ascii="Times New Roman" w:hAnsi="Times New Roman" w:cs="Times New Roman"/>
                <w:b/>
                <w:bCs/>
                <w:sz w:val="22"/>
                <w:szCs w:val="22"/>
              </w:rPr>
              <w:t>S-a luat act.</w:t>
            </w:r>
          </w:p>
          <w:p w14:paraId="6613CCED" w14:textId="2BFD06B4" w:rsidR="00C25B82" w:rsidRPr="0048156D" w:rsidRDefault="00294B0C" w:rsidP="00294B0C">
            <w:pPr>
              <w:rPr>
                <w:rFonts w:ascii="Times New Roman" w:hAnsi="Times New Roman" w:cs="Times New Roman"/>
                <w:sz w:val="22"/>
                <w:szCs w:val="22"/>
              </w:rPr>
            </w:pPr>
            <w:r w:rsidRPr="0048156D">
              <w:rPr>
                <w:rFonts w:ascii="Times New Roman" w:hAnsi="Times New Roman" w:cs="Times New Roman"/>
                <w:sz w:val="22"/>
                <w:szCs w:val="22"/>
              </w:rPr>
              <w:t xml:space="preserve">A fost inclus în Capitolul V, secțiunea </w:t>
            </w:r>
            <w:proofErr w:type="spellStart"/>
            <w:r w:rsidRPr="0048156D">
              <w:rPr>
                <w:rFonts w:ascii="Times New Roman" w:hAnsi="Times New Roman" w:cs="Times New Roman"/>
                <w:sz w:val="22"/>
                <w:szCs w:val="22"/>
              </w:rPr>
              <w:t>Secțiunea</w:t>
            </w:r>
            <w:proofErr w:type="spellEnd"/>
            <w:r w:rsidRPr="0048156D">
              <w:rPr>
                <w:rFonts w:ascii="Times New Roman" w:hAnsi="Times New Roman" w:cs="Times New Roman"/>
                <w:sz w:val="22"/>
                <w:szCs w:val="22"/>
              </w:rPr>
              <w:t xml:space="preserve"> 2, Impactul asupra economiei naționale costurile dezvoltării astfel de tehnologii.</w:t>
            </w:r>
          </w:p>
        </w:tc>
      </w:tr>
      <w:tr w:rsidR="00903180" w:rsidRPr="0048156D" w14:paraId="5B9B07A9" w14:textId="77777777" w:rsidTr="00C25B82">
        <w:tc>
          <w:tcPr>
            <w:tcW w:w="611" w:type="dxa"/>
          </w:tcPr>
          <w:p w14:paraId="25580894" w14:textId="1643F3EB" w:rsidR="00903180" w:rsidRPr="0048156D" w:rsidRDefault="00903180">
            <w:pPr>
              <w:rPr>
                <w:rFonts w:ascii="Times New Roman" w:hAnsi="Times New Roman" w:cs="Times New Roman"/>
                <w:sz w:val="22"/>
                <w:szCs w:val="22"/>
              </w:rPr>
            </w:pPr>
            <w:r w:rsidRPr="0048156D">
              <w:rPr>
                <w:rFonts w:ascii="Times New Roman" w:hAnsi="Times New Roman" w:cs="Times New Roman"/>
                <w:sz w:val="22"/>
                <w:szCs w:val="22"/>
              </w:rPr>
              <w:t>2</w:t>
            </w:r>
          </w:p>
        </w:tc>
        <w:tc>
          <w:tcPr>
            <w:tcW w:w="12425" w:type="dxa"/>
            <w:gridSpan w:val="2"/>
          </w:tcPr>
          <w:p w14:paraId="44082FF6" w14:textId="77777777" w:rsidR="003E4669" w:rsidRPr="0048156D" w:rsidRDefault="003E4669" w:rsidP="00903180">
            <w:pPr>
              <w:jc w:val="center"/>
              <w:rPr>
                <w:rFonts w:ascii="Times New Roman" w:hAnsi="Times New Roman" w:cs="Times New Roman"/>
                <w:b/>
                <w:bCs/>
                <w:sz w:val="22"/>
                <w:szCs w:val="22"/>
              </w:rPr>
            </w:pPr>
          </w:p>
          <w:p w14:paraId="6414DD6C" w14:textId="77777777" w:rsidR="00903180" w:rsidRPr="0048156D" w:rsidRDefault="00903180" w:rsidP="00903180">
            <w:pPr>
              <w:jc w:val="center"/>
              <w:rPr>
                <w:rFonts w:ascii="Times New Roman" w:hAnsi="Times New Roman" w:cs="Times New Roman"/>
                <w:b/>
                <w:bCs/>
                <w:sz w:val="22"/>
                <w:szCs w:val="22"/>
              </w:rPr>
            </w:pPr>
            <w:r w:rsidRPr="0048156D">
              <w:rPr>
                <w:rFonts w:ascii="Times New Roman" w:hAnsi="Times New Roman" w:cs="Times New Roman"/>
                <w:b/>
                <w:bCs/>
                <w:sz w:val="22"/>
                <w:szCs w:val="22"/>
              </w:rPr>
              <w:lastRenderedPageBreak/>
              <w:t>Sectorul de gaze naturale</w:t>
            </w:r>
          </w:p>
          <w:p w14:paraId="706130D3" w14:textId="607D5A90" w:rsidR="003E4669" w:rsidRPr="0048156D" w:rsidRDefault="003E4669" w:rsidP="00903180">
            <w:pPr>
              <w:jc w:val="center"/>
              <w:rPr>
                <w:rFonts w:ascii="Times New Roman" w:hAnsi="Times New Roman" w:cs="Times New Roman"/>
                <w:b/>
                <w:bCs/>
                <w:sz w:val="22"/>
                <w:szCs w:val="22"/>
              </w:rPr>
            </w:pPr>
          </w:p>
        </w:tc>
      </w:tr>
      <w:tr w:rsidR="00903180" w:rsidRPr="0048156D" w14:paraId="57FA63C3" w14:textId="77777777" w:rsidTr="00C25B82">
        <w:tc>
          <w:tcPr>
            <w:tcW w:w="611" w:type="dxa"/>
          </w:tcPr>
          <w:p w14:paraId="61002081" w14:textId="439FBFF3"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lastRenderedPageBreak/>
              <w:t>2.1</w:t>
            </w:r>
          </w:p>
        </w:tc>
        <w:tc>
          <w:tcPr>
            <w:tcW w:w="8543" w:type="dxa"/>
          </w:tcPr>
          <w:p w14:paraId="5CEBCF00" w14:textId="319573B0"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t>Expunerea proiectelor este fie pur descriptivă (exemplul gazoductului la</w:t>
            </w:r>
            <w:r w:rsidR="00FE7652" w:rsidRPr="0048156D">
              <w:rPr>
                <w:rFonts w:ascii="Times New Roman" w:hAnsi="Times New Roman" w:cs="Times New Roman"/>
                <w:sz w:val="22"/>
                <w:szCs w:val="22"/>
              </w:rPr>
              <w:t>ș</w:t>
            </w:r>
            <w:r w:rsidRPr="0048156D">
              <w:rPr>
                <w:rFonts w:ascii="Times New Roman" w:hAnsi="Times New Roman" w:cs="Times New Roman"/>
                <w:sz w:val="22"/>
                <w:szCs w:val="22"/>
              </w:rPr>
              <w:t>i-Ungheni</w:t>
            </w:r>
            <w:r w:rsidR="00FE7652" w:rsidRPr="0048156D">
              <w:rPr>
                <w:rFonts w:ascii="Times New Roman" w:hAnsi="Times New Roman" w:cs="Times New Roman"/>
                <w:sz w:val="22"/>
                <w:szCs w:val="22"/>
              </w:rPr>
              <w:t>-</w:t>
            </w:r>
            <w:r w:rsidRPr="0048156D">
              <w:rPr>
                <w:rFonts w:ascii="Times New Roman" w:hAnsi="Times New Roman" w:cs="Times New Roman"/>
                <w:sz w:val="22"/>
                <w:szCs w:val="22"/>
              </w:rPr>
              <w:t>Chi</w:t>
            </w:r>
            <w:r w:rsidR="00FE7652" w:rsidRPr="0048156D">
              <w:rPr>
                <w:rFonts w:ascii="Times New Roman" w:hAnsi="Times New Roman" w:cs="Times New Roman"/>
                <w:sz w:val="22"/>
                <w:szCs w:val="22"/>
              </w:rPr>
              <w:t>ș</w:t>
            </w:r>
            <w:r w:rsidRPr="0048156D">
              <w:rPr>
                <w:rFonts w:ascii="Times New Roman" w:hAnsi="Times New Roman" w:cs="Times New Roman"/>
                <w:sz w:val="22"/>
                <w:szCs w:val="22"/>
              </w:rPr>
              <w:t xml:space="preserve">inău - finalizat 2021 și </w:t>
            </w:r>
            <w:r w:rsidR="00B65BDB" w:rsidRPr="0048156D">
              <w:rPr>
                <w:rFonts w:ascii="Times New Roman" w:hAnsi="Times New Roman" w:cs="Times New Roman"/>
                <w:sz w:val="22"/>
                <w:szCs w:val="22"/>
              </w:rPr>
              <w:t>operațional</w:t>
            </w:r>
            <w:r w:rsidRPr="0048156D">
              <w:rPr>
                <w:rFonts w:ascii="Times New Roman" w:hAnsi="Times New Roman" w:cs="Times New Roman"/>
                <w:sz w:val="22"/>
                <w:szCs w:val="22"/>
              </w:rPr>
              <w:t xml:space="preserve">), fie proiectată în perspectiva dezvoltării viitoare din perspectiva </w:t>
            </w:r>
            <w:r w:rsidR="00B65BDB" w:rsidRPr="0048156D">
              <w:rPr>
                <w:rFonts w:ascii="Times New Roman" w:hAnsi="Times New Roman" w:cs="Times New Roman"/>
                <w:sz w:val="22"/>
                <w:szCs w:val="22"/>
              </w:rPr>
              <w:t>potențialului</w:t>
            </w:r>
            <w:r w:rsidRPr="0048156D">
              <w:rPr>
                <w:rFonts w:ascii="Times New Roman" w:hAnsi="Times New Roman" w:cs="Times New Roman"/>
                <w:sz w:val="22"/>
                <w:szCs w:val="22"/>
              </w:rPr>
              <w:t xml:space="preserve"> de diversificare (exemplul volumelor de gaze din exploatările </w:t>
            </w:r>
            <w:r w:rsidR="00B65BDB" w:rsidRPr="0048156D">
              <w:rPr>
                <w:rFonts w:ascii="Times New Roman" w:hAnsi="Times New Roman" w:cs="Times New Roman"/>
                <w:sz w:val="22"/>
                <w:szCs w:val="22"/>
              </w:rPr>
              <w:t>romanești</w:t>
            </w:r>
            <w:r w:rsidRPr="0048156D">
              <w:rPr>
                <w:rFonts w:ascii="Times New Roman" w:hAnsi="Times New Roman" w:cs="Times New Roman"/>
                <w:sz w:val="22"/>
                <w:szCs w:val="22"/>
              </w:rPr>
              <w:t xml:space="preserv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w:t>
            </w:r>
            <w:r w:rsidR="00B65BDB" w:rsidRPr="0048156D">
              <w:rPr>
                <w:rFonts w:ascii="Times New Roman" w:hAnsi="Times New Roman" w:cs="Times New Roman"/>
                <w:sz w:val="22"/>
                <w:szCs w:val="22"/>
              </w:rPr>
              <w:t>turcești</w:t>
            </w:r>
            <w:r w:rsidRPr="0048156D">
              <w:rPr>
                <w:rFonts w:ascii="Times New Roman" w:hAnsi="Times New Roman" w:cs="Times New Roman"/>
                <w:sz w:val="22"/>
                <w:szCs w:val="22"/>
              </w:rPr>
              <w:t xml:space="preserve"> din Marea Neagră pe care Republica Moldova ar dori în viitor sa le acceseze);</w:t>
            </w:r>
          </w:p>
        </w:tc>
        <w:tc>
          <w:tcPr>
            <w:tcW w:w="3882" w:type="dxa"/>
          </w:tcPr>
          <w:p w14:paraId="6D1BA596" w14:textId="77777777" w:rsidR="00BF2383" w:rsidRPr="0048156D" w:rsidRDefault="00BF2383" w:rsidP="006F439C">
            <w:pPr>
              <w:rPr>
                <w:rFonts w:ascii="Times New Roman" w:hAnsi="Times New Roman" w:cs="Times New Roman"/>
                <w:sz w:val="22"/>
                <w:szCs w:val="22"/>
              </w:rPr>
            </w:pPr>
            <w:r w:rsidRPr="0048156D">
              <w:rPr>
                <w:rFonts w:ascii="Times New Roman" w:hAnsi="Times New Roman" w:cs="Times New Roman"/>
                <w:sz w:val="22"/>
                <w:szCs w:val="22"/>
              </w:rPr>
              <w:t xml:space="preserve">A fost completat prin textul: </w:t>
            </w:r>
          </w:p>
          <w:p w14:paraId="063F9CE1" w14:textId="78DA632D" w:rsidR="00903180" w:rsidRPr="0048156D" w:rsidRDefault="00FE7652" w:rsidP="006F439C">
            <w:pPr>
              <w:rPr>
                <w:rFonts w:ascii="Times New Roman" w:hAnsi="Times New Roman" w:cs="Times New Roman"/>
                <w:sz w:val="22"/>
                <w:szCs w:val="22"/>
              </w:rPr>
            </w:pPr>
            <w:r w:rsidRPr="0048156D">
              <w:rPr>
                <w:rFonts w:ascii="Times New Roman" w:hAnsi="Times New Roman" w:cs="Times New Roman"/>
                <w:sz w:val="22"/>
                <w:szCs w:val="22"/>
              </w:rPr>
              <w:t>Interconectarea Iași-Ungheni-Chișinău este un proiect finalizat și operațional; în perioada imediată, accentul este pus pe utilizarea eficientă a infrastructurii existente și pe optimizarea fluxurilor/capacităților, nu pe dezvoltarea unor conducte noi între România și Republica Moldova.</w:t>
            </w:r>
          </w:p>
          <w:p w14:paraId="5D71208B" w14:textId="21C06158" w:rsidR="00825F30" w:rsidRPr="0048156D" w:rsidRDefault="00825F30" w:rsidP="006F439C">
            <w:pPr>
              <w:rPr>
                <w:rFonts w:ascii="Times New Roman" w:hAnsi="Times New Roman" w:cs="Times New Roman"/>
                <w:sz w:val="22"/>
                <w:szCs w:val="22"/>
              </w:rPr>
            </w:pPr>
            <w:r w:rsidRPr="0048156D">
              <w:rPr>
                <w:rFonts w:ascii="Times New Roman" w:hAnsi="Times New Roman" w:cs="Times New Roman"/>
                <w:sz w:val="22"/>
                <w:szCs w:val="22"/>
              </w:rPr>
              <w:t>Aceste evoluții, împreună cu consolidarea rutelor existente (în special Coridorul Vertical și Trans-</w:t>
            </w:r>
            <w:proofErr w:type="spellStart"/>
            <w:r w:rsidRPr="0048156D">
              <w:rPr>
                <w:rFonts w:ascii="Times New Roman" w:hAnsi="Times New Roman" w:cs="Times New Roman"/>
                <w:sz w:val="22"/>
                <w:szCs w:val="22"/>
              </w:rPr>
              <w:t>Balkan</w:t>
            </w:r>
            <w:proofErr w:type="spellEnd"/>
            <w:r w:rsidRPr="0048156D">
              <w:rPr>
                <w:rFonts w:ascii="Times New Roman" w:hAnsi="Times New Roman" w:cs="Times New Roman"/>
                <w:sz w:val="22"/>
                <w:szCs w:val="22"/>
              </w:rPr>
              <w:t xml:space="preserve">), oferă un nou context și oportunități pentru diversificare, în principal prin utilizarea infrastructurii regionale existente și prin mecanisme de piață (capacități, </w:t>
            </w:r>
            <w:proofErr w:type="spellStart"/>
            <w:r w:rsidRPr="0048156D">
              <w:rPr>
                <w:rFonts w:ascii="Times New Roman" w:hAnsi="Times New Roman" w:cs="Times New Roman"/>
                <w:sz w:val="22"/>
                <w:szCs w:val="22"/>
              </w:rPr>
              <w:t>backhaul</w:t>
            </w:r>
            <w:proofErr w:type="spellEnd"/>
            <w:r w:rsidRPr="0048156D">
              <w:rPr>
                <w:rFonts w:ascii="Times New Roman" w:hAnsi="Times New Roman" w:cs="Times New Roman"/>
                <w:sz w:val="22"/>
                <w:szCs w:val="22"/>
              </w:rPr>
              <w:t>, acces la hub-uri). Referințele la potențiale volume viitoare din Marea Neagră (România/Turcia) sau din alte surse regionale au un caracter orientativ și depind de dezvoltările comerciale și de producție la nivel regional, neimplicând, în această etapă, proiecte noi bilaterale de conducte RO–RM.</w:t>
            </w:r>
          </w:p>
        </w:tc>
      </w:tr>
      <w:tr w:rsidR="00903180" w:rsidRPr="0048156D" w14:paraId="16A37872" w14:textId="77777777" w:rsidTr="00C25B82">
        <w:tc>
          <w:tcPr>
            <w:tcW w:w="611" w:type="dxa"/>
          </w:tcPr>
          <w:p w14:paraId="3BD225ED" w14:textId="64BED11D"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t>2.2</w:t>
            </w:r>
          </w:p>
        </w:tc>
        <w:tc>
          <w:tcPr>
            <w:tcW w:w="8543" w:type="dxa"/>
          </w:tcPr>
          <w:p w14:paraId="6BA280F8" w14:textId="12C30535" w:rsidR="00903180" w:rsidRPr="0048156D" w:rsidRDefault="00FE7652" w:rsidP="006F439C">
            <w:pPr>
              <w:rPr>
                <w:rFonts w:ascii="Times New Roman" w:hAnsi="Times New Roman" w:cs="Times New Roman"/>
                <w:sz w:val="22"/>
                <w:szCs w:val="22"/>
              </w:rPr>
            </w:pPr>
            <w:r w:rsidRPr="0048156D">
              <w:rPr>
                <w:rFonts w:ascii="Times New Roman" w:hAnsi="Times New Roman" w:cs="Times New Roman"/>
                <w:sz w:val="22"/>
                <w:szCs w:val="22"/>
              </w:rPr>
              <w:t xml:space="preserve">- </w:t>
            </w:r>
            <w:r w:rsidR="00903180" w:rsidRPr="0048156D">
              <w:rPr>
                <w:rFonts w:ascii="Times New Roman" w:hAnsi="Times New Roman" w:cs="Times New Roman"/>
                <w:sz w:val="22"/>
                <w:szCs w:val="22"/>
              </w:rPr>
              <w:t xml:space="preserve">mai concrete și ancorate în realitatea imediată sunt </w:t>
            </w:r>
            <w:r w:rsidRPr="0048156D">
              <w:rPr>
                <w:rFonts w:ascii="Times New Roman" w:hAnsi="Times New Roman" w:cs="Times New Roman"/>
                <w:sz w:val="22"/>
                <w:szCs w:val="22"/>
              </w:rPr>
              <w:t>referințele</w:t>
            </w:r>
            <w:r w:rsidR="00903180" w:rsidRPr="0048156D">
              <w:rPr>
                <w:rFonts w:ascii="Times New Roman" w:hAnsi="Times New Roman" w:cs="Times New Roman"/>
                <w:sz w:val="22"/>
                <w:szCs w:val="22"/>
              </w:rPr>
              <w:t xml:space="preserve"> la Coridorul Vertical de gaze naturale și conducta Trans-</w:t>
            </w:r>
            <w:proofErr w:type="spellStart"/>
            <w:r w:rsidR="00903180" w:rsidRPr="0048156D">
              <w:rPr>
                <w:rFonts w:ascii="Times New Roman" w:hAnsi="Times New Roman" w:cs="Times New Roman"/>
                <w:sz w:val="22"/>
                <w:szCs w:val="22"/>
              </w:rPr>
              <w:t>Balkan</w:t>
            </w:r>
            <w:proofErr w:type="spellEnd"/>
            <w:r w:rsidR="00903180" w:rsidRPr="0048156D">
              <w:rPr>
                <w:rFonts w:ascii="Times New Roman" w:hAnsi="Times New Roman" w:cs="Times New Roman"/>
                <w:sz w:val="22"/>
                <w:szCs w:val="22"/>
              </w:rPr>
              <w:t xml:space="preserve">, ambele operate în regim de flux </w:t>
            </w:r>
            <w:r w:rsidRPr="0048156D">
              <w:rPr>
                <w:rFonts w:ascii="Times New Roman" w:hAnsi="Times New Roman" w:cs="Times New Roman"/>
                <w:sz w:val="22"/>
                <w:szCs w:val="22"/>
              </w:rPr>
              <w:t>bidirecțional</w:t>
            </w:r>
            <w:r w:rsidR="00903180" w:rsidRPr="0048156D">
              <w:rPr>
                <w:rFonts w:ascii="Times New Roman" w:hAnsi="Times New Roman" w:cs="Times New Roman"/>
                <w:sz w:val="22"/>
                <w:szCs w:val="22"/>
              </w:rPr>
              <w:t xml:space="preserve">, coridoare care utilizează segmente de infrastructură deja existente </w:t>
            </w:r>
            <w:r w:rsidRPr="0048156D">
              <w:rPr>
                <w:rFonts w:ascii="Times New Roman" w:hAnsi="Times New Roman" w:cs="Times New Roman"/>
                <w:sz w:val="22"/>
                <w:szCs w:val="22"/>
              </w:rPr>
              <w:t>și</w:t>
            </w:r>
            <w:r w:rsidR="00903180" w:rsidRPr="0048156D">
              <w:rPr>
                <w:rFonts w:ascii="Times New Roman" w:hAnsi="Times New Roman" w:cs="Times New Roman"/>
                <w:sz w:val="22"/>
                <w:szCs w:val="22"/>
              </w:rPr>
              <w:t xml:space="preserve"> nu propun conducte noi. Un bun exemplu este tocmai consolidarea Trans-</w:t>
            </w:r>
            <w:proofErr w:type="spellStart"/>
            <w:r w:rsidR="00903180" w:rsidRPr="0048156D">
              <w:rPr>
                <w:rFonts w:ascii="Times New Roman" w:hAnsi="Times New Roman" w:cs="Times New Roman"/>
                <w:sz w:val="22"/>
                <w:szCs w:val="22"/>
              </w:rPr>
              <w:t>Balkan</w:t>
            </w:r>
            <w:proofErr w:type="spellEnd"/>
            <w:r w:rsidR="00903180" w:rsidRPr="0048156D">
              <w:rPr>
                <w:rFonts w:ascii="Times New Roman" w:hAnsi="Times New Roman" w:cs="Times New Roman"/>
                <w:sz w:val="22"/>
                <w:szCs w:val="22"/>
              </w:rPr>
              <w:t xml:space="preserve"> care presupune proiecte de modernizare a stațiilor de măsurare gaze naturale pe </w:t>
            </w:r>
            <w:r w:rsidRPr="0048156D">
              <w:rPr>
                <w:rFonts w:ascii="Times New Roman" w:hAnsi="Times New Roman" w:cs="Times New Roman"/>
                <w:sz w:val="22"/>
                <w:szCs w:val="22"/>
              </w:rPr>
              <w:t>secțiunea</w:t>
            </w:r>
            <w:r w:rsidR="00903180" w:rsidRPr="0048156D">
              <w:rPr>
                <w:rFonts w:ascii="Times New Roman" w:hAnsi="Times New Roman" w:cs="Times New Roman"/>
                <w:sz w:val="22"/>
                <w:szCs w:val="22"/>
              </w:rPr>
              <w:t xml:space="preserve"> BG-RO-UA. Cu alte cuvinte, nu sunt implicate proiecte noi RO-RMD;</w:t>
            </w:r>
          </w:p>
          <w:p w14:paraId="51034DD8" w14:textId="77777777"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t xml:space="preserve">- există, în schimb, o referință la proiectul de tronson Ungheni - </w:t>
            </w:r>
            <w:r w:rsidR="00FE7652" w:rsidRPr="0048156D">
              <w:rPr>
                <w:rFonts w:ascii="Times New Roman" w:hAnsi="Times New Roman" w:cs="Times New Roman"/>
                <w:sz w:val="22"/>
                <w:szCs w:val="22"/>
              </w:rPr>
              <w:t>Bălți</w:t>
            </w:r>
            <w:r w:rsidRPr="0048156D">
              <w:rPr>
                <w:rFonts w:ascii="Times New Roman" w:hAnsi="Times New Roman" w:cs="Times New Roman"/>
                <w:sz w:val="22"/>
                <w:szCs w:val="22"/>
              </w:rPr>
              <w:t xml:space="preserve">, proiect care apare însă în Planul de dezvoltare al OTS-ului moldovenesc, nu se dezvoltă cu România (nu sunt </w:t>
            </w:r>
            <w:r w:rsidR="00FE7652" w:rsidRPr="0048156D">
              <w:rPr>
                <w:rFonts w:ascii="Times New Roman" w:hAnsi="Times New Roman" w:cs="Times New Roman"/>
                <w:sz w:val="22"/>
                <w:szCs w:val="22"/>
              </w:rPr>
              <w:t>informații</w:t>
            </w:r>
            <w:r w:rsidRPr="0048156D">
              <w:rPr>
                <w:rFonts w:ascii="Times New Roman" w:hAnsi="Times New Roman" w:cs="Times New Roman"/>
                <w:sz w:val="22"/>
                <w:szCs w:val="22"/>
              </w:rPr>
              <w:t xml:space="preserve"> în acest sens);</w:t>
            </w:r>
          </w:p>
          <w:p w14:paraId="0805D921" w14:textId="25915268" w:rsidR="00713DB0" w:rsidRPr="0048156D" w:rsidRDefault="00713DB0" w:rsidP="006F439C">
            <w:pPr>
              <w:rPr>
                <w:rFonts w:ascii="Times New Roman" w:hAnsi="Times New Roman" w:cs="Times New Roman"/>
                <w:sz w:val="22"/>
                <w:szCs w:val="22"/>
              </w:rPr>
            </w:pPr>
            <w:r w:rsidRPr="0048156D">
              <w:rPr>
                <w:rFonts w:ascii="Times New Roman" w:hAnsi="Times New Roman" w:cs="Times New Roman"/>
                <w:sz w:val="22"/>
                <w:szCs w:val="22"/>
              </w:rPr>
              <w:lastRenderedPageBreak/>
              <w:t>Strategia Energetică a Republicii Moldova pentru perioada 2025-2050 ar trebui să includă proiectele de investiții în infrastructura de gaze naturale incluse în Planul de dezvoltare al ,,</w:t>
            </w:r>
            <w:proofErr w:type="spellStart"/>
            <w:r w:rsidRPr="0048156D">
              <w:rPr>
                <w:rFonts w:ascii="Times New Roman" w:hAnsi="Times New Roman" w:cs="Times New Roman"/>
                <w:sz w:val="22"/>
                <w:szCs w:val="22"/>
              </w:rPr>
              <w:t>Vestmoldtransgaz</w:t>
            </w:r>
            <w:proofErr w:type="spellEnd"/>
            <w:r w:rsidRPr="0048156D">
              <w:rPr>
                <w:rFonts w:ascii="Times New Roman" w:hAnsi="Times New Roman" w:cs="Times New Roman"/>
                <w:sz w:val="22"/>
                <w:szCs w:val="22"/>
              </w:rPr>
              <w:t>" S.R.L. pentru anii 2023-2032 (https://www.vmtg.md/images/PLANURI/H_CA_ANRE_nr._820_Plan_de_Dezvoltare_2023- 2032_Vestmoldtransgaz.pdf);</w:t>
            </w:r>
          </w:p>
        </w:tc>
        <w:tc>
          <w:tcPr>
            <w:tcW w:w="3882" w:type="dxa"/>
          </w:tcPr>
          <w:p w14:paraId="7AD5E7D0" w14:textId="77777777" w:rsidR="00BF2383" w:rsidRPr="0048156D" w:rsidRDefault="00BF2383" w:rsidP="00BF2383">
            <w:pPr>
              <w:rPr>
                <w:rFonts w:ascii="Times New Roman" w:hAnsi="Times New Roman" w:cs="Times New Roman"/>
                <w:sz w:val="22"/>
                <w:szCs w:val="22"/>
              </w:rPr>
            </w:pPr>
            <w:r w:rsidRPr="0048156D">
              <w:rPr>
                <w:rFonts w:ascii="Times New Roman" w:hAnsi="Times New Roman" w:cs="Times New Roman"/>
                <w:sz w:val="22"/>
                <w:szCs w:val="22"/>
              </w:rPr>
              <w:lastRenderedPageBreak/>
              <w:t xml:space="preserve">A fost completat prin textul: </w:t>
            </w:r>
          </w:p>
          <w:p w14:paraId="4FC243D6" w14:textId="77777777" w:rsidR="00FE7652" w:rsidRPr="0048156D" w:rsidRDefault="00FE7652" w:rsidP="00FE7652">
            <w:pPr>
              <w:ind w:firstLine="709"/>
              <w:jc w:val="both"/>
              <w:rPr>
                <w:rFonts w:ascii="Times New Roman" w:hAnsi="Times New Roman" w:cs="Times New Roman"/>
                <w:sz w:val="22"/>
                <w:szCs w:val="22"/>
              </w:rPr>
            </w:pPr>
            <w:r w:rsidRPr="0048156D">
              <w:rPr>
                <w:rFonts w:ascii="Times New Roman" w:hAnsi="Times New Roman" w:cs="Times New Roman"/>
                <w:sz w:val="22"/>
                <w:szCs w:val="22"/>
              </w:rPr>
              <w:t>Mai concrete și ancorate în realitatea imediată sunt dezvoltările aferente Coridorului Vertical și utilizării conductei Trans-</w:t>
            </w:r>
            <w:proofErr w:type="spellStart"/>
            <w:r w:rsidRPr="0048156D">
              <w:rPr>
                <w:rFonts w:ascii="Times New Roman" w:hAnsi="Times New Roman" w:cs="Times New Roman"/>
                <w:sz w:val="22"/>
                <w:szCs w:val="22"/>
              </w:rPr>
              <w:t>Balkanice</w:t>
            </w:r>
            <w:proofErr w:type="spellEnd"/>
            <w:r w:rsidRPr="0048156D">
              <w:rPr>
                <w:rFonts w:ascii="Times New Roman" w:hAnsi="Times New Roman" w:cs="Times New Roman"/>
                <w:sz w:val="22"/>
                <w:szCs w:val="22"/>
              </w:rPr>
              <w:t xml:space="preserve"> în regim de flux bidirecțional, coridoare care valorifică segmente de infrastructură existente și nu presupun, în această etapă, proiecte noi de conducte între România și </w:t>
            </w:r>
            <w:r w:rsidRPr="0048156D">
              <w:rPr>
                <w:rFonts w:ascii="Times New Roman" w:hAnsi="Times New Roman" w:cs="Times New Roman"/>
                <w:sz w:val="22"/>
                <w:szCs w:val="22"/>
              </w:rPr>
              <w:lastRenderedPageBreak/>
              <w:t>Republica Moldova. Un exemplu relevant îl constituie consolidarea funcționării Trans-</w:t>
            </w:r>
            <w:proofErr w:type="spellStart"/>
            <w:r w:rsidRPr="0048156D">
              <w:rPr>
                <w:rFonts w:ascii="Times New Roman" w:hAnsi="Times New Roman" w:cs="Times New Roman"/>
                <w:sz w:val="22"/>
                <w:szCs w:val="22"/>
              </w:rPr>
              <w:t>Balkanice</w:t>
            </w:r>
            <w:proofErr w:type="spellEnd"/>
            <w:r w:rsidRPr="0048156D">
              <w:rPr>
                <w:rFonts w:ascii="Times New Roman" w:hAnsi="Times New Roman" w:cs="Times New Roman"/>
                <w:sz w:val="22"/>
                <w:szCs w:val="22"/>
              </w:rPr>
              <w:t>, inclusiv prin proiecte de modernizare (de ex., stații de măsurare și reglare) pe secțiunea BG–RO–UA, care sporesc flexibilitatea și capacitatea efectiv utilizabilă pentru fluxuri revers.</w:t>
            </w:r>
          </w:p>
          <w:p w14:paraId="63678D45" w14:textId="58C6DA35" w:rsidR="00903180" w:rsidRPr="0048156D" w:rsidRDefault="00FE7652" w:rsidP="00713DB0">
            <w:pPr>
              <w:ind w:firstLine="709"/>
              <w:jc w:val="both"/>
              <w:rPr>
                <w:rFonts w:ascii="Times New Roman" w:hAnsi="Times New Roman" w:cs="Times New Roman"/>
                <w:sz w:val="22"/>
                <w:szCs w:val="22"/>
              </w:rPr>
            </w:pPr>
            <w:r w:rsidRPr="0048156D">
              <w:rPr>
                <w:rFonts w:ascii="Times New Roman" w:hAnsi="Times New Roman" w:cs="Times New Roman"/>
                <w:sz w:val="22"/>
                <w:szCs w:val="22"/>
              </w:rPr>
              <w:t>Totodată, în ceea ce privește proiectele de investiții în infrastructura de transport a gazelor naturale pe teritoriul Republicii Moldova, Strategia Energetică pentru perioada 2025–2050 urmează să reflecte proiectele incluse în Planul de dezvoltare al O.S.T. „</w:t>
            </w:r>
            <w:proofErr w:type="spellStart"/>
            <w:r w:rsidRPr="0048156D">
              <w:rPr>
                <w:rFonts w:ascii="Times New Roman" w:hAnsi="Times New Roman" w:cs="Times New Roman"/>
                <w:sz w:val="22"/>
                <w:szCs w:val="22"/>
              </w:rPr>
              <w:t>Vestmoldtransgaz</w:t>
            </w:r>
            <w:proofErr w:type="spellEnd"/>
            <w:r w:rsidRPr="0048156D">
              <w:rPr>
                <w:rFonts w:ascii="Times New Roman" w:hAnsi="Times New Roman" w:cs="Times New Roman"/>
                <w:sz w:val="22"/>
                <w:szCs w:val="22"/>
              </w:rPr>
              <w:t>” S.R.L. pentru anii 2023–2032 (ex. modernizări/întăriri ale rețelei, stații și noduri de măsurare, proiecte interne de extindere/optimizare), ca bază operațională pentru planificarea investițională. În acest context, referința la tronsonul Ungheni–Bălți se tratează ca proiect de dezvoltare internă inclus în planificarea O.S.T. din Republica Moldova; la momentul elaborării prezentei Strategii nu există elemente care să indice dezvoltarea acestuia ca proiect comun cu România (proiect RO–RM).</w:t>
            </w:r>
          </w:p>
        </w:tc>
      </w:tr>
      <w:tr w:rsidR="00903180" w:rsidRPr="0048156D" w14:paraId="523D52B0" w14:textId="77777777" w:rsidTr="00C25B82">
        <w:tc>
          <w:tcPr>
            <w:tcW w:w="611" w:type="dxa"/>
          </w:tcPr>
          <w:p w14:paraId="185061DE" w14:textId="7CA4CC46"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lastRenderedPageBreak/>
              <w:t>2.3</w:t>
            </w:r>
          </w:p>
        </w:tc>
        <w:tc>
          <w:tcPr>
            <w:tcW w:w="8543" w:type="dxa"/>
          </w:tcPr>
          <w:p w14:paraId="5EC73AD1" w14:textId="5409860F" w:rsidR="00903180" w:rsidRPr="0048156D" w:rsidRDefault="00825F30" w:rsidP="006F439C">
            <w:pPr>
              <w:rPr>
                <w:rFonts w:ascii="Times New Roman" w:hAnsi="Times New Roman" w:cs="Times New Roman"/>
                <w:sz w:val="22"/>
                <w:szCs w:val="22"/>
              </w:rPr>
            </w:pPr>
            <w:r w:rsidRPr="0048156D">
              <w:rPr>
                <w:rFonts w:ascii="Times New Roman" w:hAnsi="Times New Roman" w:cs="Times New Roman"/>
                <w:sz w:val="22"/>
                <w:szCs w:val="22"/>
              </w:rPr>
              <w:t>- clarificarea măsurii/indicatorului de la Direcția 1.4 Dezvoltarea pe teritoriul României a sistemului de stocare a gazelor naturale prin creșterea capacității de stocare a gazelor naturale la instalația de stocare Sărmășel și/sau construcția instalației de stocare noi la Fălticeni, având în vedere faptul că în Strategia Energetică a Republicii Moldova pentru perioada 2025-2050, se menționează: „De asemenea, în conformitate cu Memorandumul de înțelegere semnat cu România în decembrie 2023, Republica Moldova va sprijini dezvoltarea pe teritoriul României a sistemului de stocare a gazelor naturale prin creșterea capacității de stocare a gazelor naturale la instalația de stocare Sărmășel și/sau construcția instalației de stocare noi la Fălticeni".</w:t>
            </w:r>
          </w:p>
        </w:tc>
        <w:tc>
          <w:tcPr>
            <w:tcW w:w="3882" w:type="dxa"/>
          </w:tcPr>
          <w:p w14:paraId="7B2B1A82" w14:textId="77777777" w:rsidR="00BF2383" w:rsidRPr="0048156D" w:rsidRDefault="00BF2383" w:rsidP="00BF2383">
            <w:pPr>
              <w:rPr>
                <w:rFonts w:ascii="Times New Roman" w:hAnsi="Times New Roman" w:cs="Times New Roman"/>
                <w:sz w:val="22"/>
                <w:szCs w:val="22"/>
              </w:rPr>
            </w:pPr>
            <w:r w:rsidRPr="0048156D">
              <w:rPr>
                <w:rFonts w:ascii="Times New Roman" w:hAnsi="Times New Roman" w:cs="Times New Roman"/>
                <w:sz w:val="22"/>
                <w:szCs w:val="22"/>
              </w:rPr>
              <w:t xml:space="preserve">A fost completat prin textul: </w:t>
            </w:r>
          </w:p>
          <w:p w14:paraId="1C285478" w14:textId="26E97B93" w:rsidR="00903180" w:rsidRPr="0048156D" w:rsidRDefault="00825F30" w:rsidP="006F439C">
            <w:pPr>
              <w:rPr>
                <w:rFonts w:ascii="Times New Roman" w:hAnsi="Times New Roman" w:cs="Times New Roman"/>
                <w:sz w:val="22"/>
                <w:szCs w:val="22"/>
              </w:rPr>
            </w:pPr>
            <w:r w:rsidRPr="0048156D">
              <w:rPr>
                <w:rFonts w:ascii="Times New Roman" w:hAnsi="Times New Roman" w:cs="Times New Roman"/>
                <w:sz w:val="22"/>
                <w:szCs w:val="22"/>
              </w:rPr>
              <w:t xml:space="preserve">În ceea ce privește înmagazinarea gazelor naturale pe teritoriul României, mențiunea privind sprijinirea dezvoltării capacităților de stocare (Sărmășel și/sau o instalație nouă la Fălticeni) se înțelege ca sprijin instituțional și de piață în baza cadrului de cooperare bilateral (Memorandumul de înțelegere semnat cu </w:t>
            </w:r>
            <w:r w:rsidRPr="0048156D">
              <w:rPr>
                <w:rFonts w:ascii="Times New Roman" w:hAnsi="Times New Roman" w:cs="Times New Roman"/>
                <w:sz w:val="22"/>
                <w:szCs w:val="22"/>
              </w:rPr>
              <w:lastRenderedPageBreak/>
              <w:t>România în decembrie 2023), orientat spre facilitarea accesului Republicii Moldova la servicii de înmagazinare și la capacități rezervabile în condiții competitive. Aceasta nu reprezintă o asumare de investiții directe de către Republica Moldova în infrastructura de stocare din România, ci un angajament de cooperare/reglementare și de predictibilitate a cererii (de ex., contractare pe termen mediu/lung, condiții de acces, armonizare procedurală), în măsura aplicabilă.</w:t>
            </w:r>
          </w:p>
        </w:tc>
      </w:tr>
      <w:tr w:rsidR="00903180" w:rsidRPr="0048156D" w14:paraId="6C3A441B" w14:textId="77777777" w:rsidTr="00C25B82">
        <w:tc>
          <w:tcPr>
            <w:tcW w:w="611" w:type="dxa"/>
          </w:tcPr>
          <w:p w14:paraId="159A14A3" w14:textId="3D1A1FF1" w:rsidR="00903180" w:rsidRPr="0048156D" w:rsidRDefault="00903180" w:rsidP="006F439C">
            <w:pPr>
              <w:rPr>
                <w:rFonts w:ascii="Times New Roman" w:hAnsi="Times New Roman" w:cs="Times New Roman"/>
                <w:sz w:val="22"/>
                <w:szCs w:val="22"/>
              </w:rPr>
            </w:pPr>
            <w:r w:rsidRPr="0048156D">
              <w:rPr>
                <w:rFonts w:ascii="Times New Roman" w:hAnsi="Times New Roman" w:cs="Times New Roman"/>
                <w:sz w:val="22"/>
                <w:szCs w:val="22"/>
              </w:rPr>
              <w:lastRenderedPageBreak/>
              <w:t>2.4</w:t>
            </w:r>
          </w:p>
        </w:tc>
        <w:tc>
          <w:tcPr>
            <w:tcW w:w="8543" w:type="dxa"/>
          </w:tcPr>
          <w:p w14:paraId="53167DDE" w14:textId="084658F1" w:rsidR="00903180" w:rsidRPr="0048156D" w:rsidRDefault="00903180" w:rsidP="006F439C">
            <w:pPr>
              <w:rPr>
                <w:rFonts w:ascii="Times New Roman" w:hAnsi="Times New Roman" w:cs="Times New Roman"/>
                <w:sz w:val="22"/>
                <w:szCs w:val="22"/>
              </w:rPr>
            </w:pPr>
          </w:p>
        </w:tc>
        <w:tc>
          <w:tcPr>
            <w:tcW w:w="3882" w:type="dxa"/>
          </w:tcPr>
          <w:p w14:paraId="20E78085" w14:textId="779F62D8" w:rsidR="00903180" w:rsidRPr="0048156D" w:rsidRDefault="00903180" w:rsidP="006F439C">
            <w:pPr>
              <w:rPr>
                <w:rFonts w:ascii="Times New Roman" w:hAnsi="Times New Roman" w:cs="Times New Roman"/>
                <w:sz w:val="22"/>
                <w:szCs w:val="22"/>
              </w:rPr>
            </w:pPr>
          </w:p>
        </w:tc>
      </w:tr>
      <w:tr w:rsidR="00D432F9" w:rsidRPr="0048156D" w14:paraId="6203E16D" w14:textId="77777777" w:rsidTr="00C25B82">
        <w:tc>
          <w:tcPr>
            <w:tcW w:w="611" w:type="dxa"/>
          </w:tcPr>
          <w:p w14:paraId="1253BF31" w14:textId="570342D8" w:rsidR="00D432F9" w:rsidRPr="0048156D" w:rsidRDefault="00D432F9" w:rsidP="006F439C">
            <w:pPr>
              <w:rPr>
                <w:rFonts w:ascii="Times New Roman" w:hAnsi="Times New Roman" w:cs="Times New Roman"/>
                <w:sz w:val="22"/>
                <w:szCs w:val="22"/>
              </w:rPr>
            </w:pPr>
            <w:r w:rsidRPr="0048156D">
              <w:rPr>
                <w:rFonts w:ascii="Times New Roman" w:hAnsi="Times New Roman" w:cs="Times New Roman"/>
                <w:sz w:val="22"/>
                <w:szCs w:val="22"/>
              </w:rPr>
              <w:t>3</w:t>
            </w:r>
          </w:p>
        </w:tc>
        <w:tc>
          <w:tcPr>
            <w:tcW w:w="12425" w:type="dxa"/>
            <w:gridSpan w:val="2"/>
          </w:tcPr>
          <w:p w14:paraId="26D7C266" w14:textId="77777777" w:rsidR="003E4669" w:rsidRPr="0048156D" w:rsidRDefault="003E4669" w:rsidP="00D432F9">
            <w:pPr>
              <w:jc w:val="center"/>
              <w:rPr>
                <w:rFonts w:ascii="Times New Roman" w:hAnsi="Times New Roman" w:cs="Times New Roman"/>
                <w:b/>
                <w:bCs/>
                <w:sz w:val="22"/>
                <w:szCs w:val="22"/>
              </w:rPr>
            </w:pPr>
          </w:p>
          <w:p w14:paraId="251B3CA6" w14:textId="77777777" w:rsidR="00D432F9" w:rsidRPr="0048156D" w:rsidRDefault="00D432F9" w:rsidP="00D432F9">
            <w:pPr>
              <w:jc w:val="center"/>
              <w:rPr>
                <w:rFonts w:ascii="Times New Roman" w:hAnsi="Times New Roman" w:cs="Times New Roman"/>
                <w:b/>
                <w:bCs/>
                <w:sz w:val="22"/>
                <w:szCs w:val="22"/>
              </w:rPr>
            </w:pPr>
            <w:r w:rsidRPr="0048156D">
              <w:rPr>
                <w:rFonts w:ascii="Times New Roman" w:hAnsi="Times New Roman" w:cs="Times New Roman"/>
                <w:b/>
                <w:bCs/>
                <w:sz w:val="22"/>
                <w:szCs w:val="22"/>
              </w:rPr>
              <w:t>Sectorul de energie electrică</w:t>
            </w:r>
          </w:p>
          <w:p w14:paraId="228EF96F" w14:textId="0F7F6F26" w:rsidR="003E4669" w:rsidRPr="0048156D" w:rsidRDefault="003E4669" w:rsidP="00D432F9">
            <w:pPr>
              <w:jc w:val="center"/>
              <w:rPr>
                <w:rFonts w:ascii="Times New Roman" w:hAnsi="Times New Roman" w:cs="Times New Roman"/>
                <w:b/>
                <w:bCs/>
                <w:sz w:val="22"/>
                <w:szCs w:val="22"/>
              </w:rPr>
            </w:pPr>
          </w:p>
        </w:tc>
      </w:tr>
      <w:tr w:rsidR="00B965C5" w:rsidRPr="0048156D" w14:paraId="75E36CA5" w14:textId="77777777" w:rsidTr="00C25B82">
        <w:tc>
          <w:tcPr>
            <w:tcW w:w="611" w:type="dxa"/>
          </w:tcPr>
          <w:p w14:paraId="49EC0516" w14:textId="5A671CD4" w:rsidR="00B965C5" w:rsidRPr="0048156D" w:rsidRDefault="00B965C5" w:rsidP="006F439C">
            <w:pPr>
              <w:rPr>
                <w:rFonts w:ascii="Times New Roman" w:hAnsi="Times New Roman" w:cs="Times New Roman"/>
                <w:sz w:val="22"/>
                <w:szCs w:val="22"/>
              </w:rPr>
            </w:pPr>
            <w:r w:rsidRPr="0048156D">
              <w:rPr>
                <w:rFonts w:ascii="Times New Roman" w:hAnsi="Times New Roman" w:cs="Times New Roman"/>
                <w:sz w:val="22"/>
                <w:szCs w:val="22"/>
              </w:rPr>
              <w:t>4</w:t>
            </w:r>
          </w:p>
        </w:tc>
        <w:tc>
          <w:tcPr>
            <w:tcW w:w="12425" w:type="dxa"/>
            <w:gridSpan w:val="2"/>
          </w:tcPr>
          <w:p w14:paraId="0D684C4C" w14:textId="77777777" w:rsidR="003E4669" w:rsidRPr="0048156D" w:rsidRDefault="003E4669" w:rsidP="00B965C5">
            <w:pPr>
              <w:jc w:val="center"/>
              <w:rPr>
                <w:rFonts w:ascii="Times New Roman" w:hAnsi="Times New Roman" w:cs="Times New Roman"/>
                <w:b/>
                <w:bCs/>
                <w:sz w:val="22"/>
                <w:szCs w:val="22"/>
              </w:rPr>
            </w:pPr>
          </w:p>
          <w:p w14:paraId="41F7DC21" w14:textId="77777777" w:rsidR="00B965C5" w:rsidRPr="0048156D" w:rsidRDefault="00B965C5" w:rsidP="00B965C5">
            <w:pPr>
              <w:jc w:val="center"/>
              <w:rPr>
                <w:rFonts w:ascii="Times New Roman" w:hAnsi="Times New Roman" w:cs="Times New Roman"/>
                <w:b/>
                <w:bCs/>
                <w:sz w:val="22"/>
                <w:szCs w:val="22"/>
              </w:rPr>
            </w:pPr>
            <w:r w:rsidRPr="0048156D">
              <w:rPr>
                <w:rFonts w:ascii="Times New Roman" w:hAnsi="Times New Roman" w:cs="Times New Roman"/>
                <w:b/>
                <w:bCs/>
                <w:sz w:val="22"/>
                <w:szCs w:val="22"/>
              </w:rPr>
              <w:t>Energie nucleară</w:t>
            </w:r>
          </w:p>
          <w:p w14:paraId="5DADF6D7" w14:textId="20F26062" w:rsidR="003E4669" w:rsidRPr="0048156D" w:rsidRDefault="003E4669" w:rsidP="00B965C5">
            <w:pPr>
              <w:jc w:val="center"/>
              <w:rPr>
                <w:rFonts w:ascii="Times New Roman" w:hAnsi="Times New Roman" w:cs="Times New Roman"/>
                <w:b/>
                <w:bCs/>
                <w:sz w:val="22"/>
                <w:szCs w:val="22"/>
              </w:rPr>
            </w:pPr>
          </w:p>
        </w:tc>
      </w:tr>
      <w:tr w:rsidR="00903180" w:rsidRPr="0048156D" w14:paraId="4134E0D0" w14:textId="77777777" w:rsidTr="00C25B82">
        <w:tc>
          <w:tcPr>
            <w:tcW w:w="611" w:type="dxa"/>
          </w:tcPr>
          <w:p w14:paraId="30CBEE47" w14:textId="312E1F8B" w:rsidR="00903180" w:rsidRPr="0048156D" w:rsidRDefault="00B965C5" w:rsidP="006F439C">
            <w:pPr>
              <w:rPr>
                <w:rFonts w:ascii="Times New Roman" w:hAnsi="Times New Roman" w:cs="Times New Roman"/>
                <w:sz w:val="22"/>
                <w:szCs w:val="22"/>
              </w:rPr>
            </w:pPr>
            <w:r w:rsidRPr="0048156D">
              <w:rPr>
                <w:rFonts w:ascii="Times New Roman" w:hAnsi="Times New Roman" w:cs="Times New Roman"/>
                <w:sz w:val="22"/>
                <w:szCs w:val="22"/>
              </w:rPr>
              <w:t>4.1</w:t>
            </w:r>
          </w:p>
        </w:tc>
        <w:tc>
          <w:tcPr>
            <w:tcW w:w="8543" w:type="dxa"/>
          </w:tcPr>
          <w:p w14:paraId="1A80E8D8" w14:textId="4C8041C2" w:rsidR="00903180" w:rsidRPr="0048156D" w:rsidRDefault="00B965C5" w:rsidP="006F439C">
            <w:pPr>
              <w:rPr>
                <w:rFonts w:ascii="Times New Roman" w:hAnsi="Times New Roman" w:cs="Times New Roman"/>
                <w:sz w:val="22"/>
                <w:szCs w:val="22"/>
              </w:rPr>
            </w:pPr>
            <w:r w:rsidRPr="0048156D">
              <w:rPr>
                <w:rFonts w:ascii="Times New Roman" w:hAnsi="Times New Roman" w:cs="Times New Roman"/>
                <w:sz w:val="22"/>
                <w:szCs w:val="22"/>
              </w:rPr>
              <w:t xml:space="preserve">Pentru sectorul de energie nucleară, în cadrul Strategiei se </w:t>
            </w:r>
            <w:r w:rsidR="00B65BDB" w:rsidRPr="0048156D">
              <w:rPr>
                <w:rFonts w:ascii="Times New Roman" w:hAnsi="Times New Roman" w:cs="Times New Roman"/>
                <w:sz w:val="22"/>
                <w:szCs w:val="22"/>
              </w:rPr>
              <w:t>menționează</w:t>
            </w:r>
            <w:r w:rsidRPr="0048156D">
              <w:rPr>
                <w:rFonts w:ascii="Times New Roman" w:hAnsi="Times New Roman" w:cs="Times New Roman"/>
                <w:sz w:val="22"/>
                <w:szCs w:val="22"/>
              </w:rPr>
              <w:t xml:space="preserve">: „Chiar dacă pentru moment costul nivelat al energiei electrice (în continuare - LCOE) produse de SMR este estimat la 80-90 USD/MWh, analizele Departamentului Energiei din SUA arată că un cost de capital sub $5000/kW ar permite atingerea unui LCOE sub 60 USD/MWh pentru reactoarele avansate, care poate fi comparat cu costul energiei produse de regenerabile și </w:t>
            </w:r>
            <w:r w:rsidR="00B65BDB" w:rsidRPr="0048156D">
              <w:rPr>
                <w:rFonts w:ascii="Times New Roman" w:hAnsi="Times New Roman" w:cs="Times New Roman"/>
                <w:sz w:val="22"/>
                <w:szCs w:val="22"/>
              </w:rPr>
              <w:t>investițiilor</w:t>
            </w:r>
            <w:r w:rsidRPr="0048156D">
              <w:rPr>
                <w:rFonts w:ascii="Times New Roman" w:hAnsi="Times New Roman" w:cs="Times New Roman"/>
                <w:sz w:val="22"/>
                <w:szCs w:val="22"/>
              </w:rPr>
              <w:t xml:space="preserve"> necesare pentru </w:t>
            </w:r>
            <w:r w:rsidR="00B65BDB" w:rsidRPr="0048156D">
              <w:rPr>
                <w:rFonts w:ascii="Times New Roman" w:hAnsi="Times New Roman" w:cs="Times New Roman"/>
                <w:sz w:val="22"/>
                <w:szCs w:val="22"/>
              </w:rPr>
              <w:t>creșterea</w:t>
            </w:r>
            <w:r w:rsidRPr="0048156D">
              <w:rPr>
                <w:rFonts w:ascii="Times New Roman" w:hAnsi="Times New Roman" w:cs="Times New Roman"/>
                <w:sz w:val="22"/>
                <w:szCs w:val="22"/>
              </w:rPr>
              <w:t xml:space="preserve"> flexibilității acestora". În acest sens, dorim să precizăm faptul că costul tehnologiilor nucleare avansate poate fi, într-adevăr, comparativ cu cel al regenerabilelor doar dacă ne referim la ,</w:t>
            </w:r>
            <w:proofErr w:type="spellStart"/>
            <w:r w:rsidRPr="0048156D">
              <w:rPr>
                <w:rFonts w:ascii="Times New Roman" w:hAnsi="Times New Roman" w:cs="Times New Roman"/>
                <w:sz w:val="22"/>
                <w:szCs w:val="22"/>
              </w:rPr>
              <w:t>nth</w:t>
            </w:r>
            <w:proofErr w:type="spellEnd"/>
            <w:r w:rsidRPr="0048156D">
              <w:rPr>
                <w:rFonts w:ascii="Times New Roman" w:hAnsi="Times New Roman" w:cs="Times New Roman"/>
                <w:sz w:val="22"/>
                <w:szCs w:val="22"/>
              </w:rPr>
              <w:t>-of-a-</w:t>
            </w:r>
            <w:proofErr w:type="spellStart"/>
            <w:r w:rsidRPr="0048156D">
              <w:rPr>
                <w:rFonts w:ascii="Times New Roman" w:hAnsi="Times New Roman" w:cs="Times New Roman"/>
                <w:sz w:val="22"/>
                <w:szCs w:val="22"/>
              </w:rPr>
              <w:t>kind</w:t>
            </w:r>
            <w:proofErr w:type="spellEnd"/>
            <w:r w:rsidRPr="0048156D">
              <w:rPr>
                <w:rFonts w:ascii="Times New Roman" w:hAnsi="Times New Roman" w:cs="Times New Roman"/>
                <w:sz w:val="22"/>
                <w:szCs w:val="22"/>
              </w:rPr>
              <w:t>". Pentru tehnologiile</w:t>
            </w:r>
            <w:r w:rsidR="00B65BDB" w:rsidRPr="0048156D">
              <w:rPr>
                <w:rFonts w:ascii="Times New Roman" w:hAnsi="Times New Roman" w:cs="Times New Roman"/>
                <w:sz w:val="22"/>
                <w:szCs w:val="22"/>
              </w:rPr>
              <w:t xml:space="preserve"> </w:t>
            </w:r>
            <w:r w:rsidRPr="0048156D">
              <w:rPr>
                <w:rFonts w:ascii="Times New Roman" w:hAnsi="Times New Roman" w:cs="Times New Roman"/>
                <w:sz w:val="22"/>
                <w:szCs w:val="22"/>
              </w:rPr>
              <w:t>„</w:t>
            </w:r>
            <w:proofErr w:type="spellStart"/>
            <w:r w:rsidRPr="0048156D">
              <w:rPr>
                <w:rFonts w:ascii="Times New Roman" w:hAnsi="Times New Roman" w:cs="Times New Roman"/>
                <w:sz w:val="22"/>
                <w:szCs w:val="22"/>
              </w:rPr>
              <w:t>first</w:t>
            </w:r>
            <w:proofErr w:type="spellEnd"/>
            <w:r w:rsidRPr="0048156D">
              <w:rPr>
                <w:rFonts w:ascii="Times New Roman" w:hAnsi="Times New Roman" w:cs="Times New Roman"/>
                <w:sz w:val="22"/>
                <w:szCs w:val="22"/>
              </w:rPr>
              <w:t>-of-a-</w:t>
            </w:r>
            <w:proofErr w:type="spellStart"/>
            <w:r w:rsidRPr="0048156D">
              <w:rPr>
                <w:rFonts w:ascii="Times New Roman" w:hAnsi="Times New Roman" w:cs="Times New Roman"/>
                <w:sz w:val="22"/>
                <w:szCs w:val="22"/>
              </w:rPr>
              <w:t>kind</w:t>
            </w:r>
            <w:proofErr w:type="spellEnd"/>
            <w:r w:rsidRPr="0048156D">
              <w:rPr>
                <w:rFonts w:ascii="Times New Roman" w:hAnsi="Times New Roman" w:cs="Times New Roman"/>
                <w:sz w:val="22"/>
                <w:szCs w:val="22"/>
              </w:rPr>
              <w:t xml:space="preserve">", costul energiei va fi aproape echivalent cu cel al reactoarelor nucleare de mari dimensiuni (ceea ce explică </w:t>
            </w:r>
            <w:r w:rsidR="00B65BDB" w:rsidRPr="0048156D">
              <w:rPr>
                <w:rFonts w:ascii="Times New Roman" w:hAnsi="Times New Roman" w:cs="Times New Roman"/>
                <w:sz w:val="22"/>
                <w:szCs w:val="22"/>
              </w:rPr>
              <w:t>reținerea</w:t>
            </w:r>
            <w:r w:rsidRPr="0048156D">
              <w:rPr>
                <w:rFonts w:ascii="Times New Roman" w:hAnsi="Times New Roman" w:cs="Times New Roman"/>
                <w:sz w:val="22"/>
                <w:szCs w:val="22"/>
              </w:rPr>
              <w:t xml:space="preserve"> pe care o au statele în dezvoltarea acestor proiecte), dar </w:t>
            </w:r>
            <w:r w:rsidR="00B65BDB" w:rsidRPr="0048156D">
              <w:rPr>
                <w:rFonts w:ascii="Times New Roman" w:hAnsi="Times New Roman" w:cs="Times New Roman"/>
                <w:sz w:val="22"/>
                <w:szCs w:val="22"/>
              </w:rPr>
              <w:t>construcția</w:t>
            </w:r>
            <w:r w:rsidRPr="0048156D">
              <w:rPr>
                <w:rFonts w:ascii="Times New Roman" w:hAnsi="Times New Roman" w:cs="Times New Roman"/>
                <w:sz w:val="22"/>
                <w:szCs w:val="22"/>
              </w:rPr>
              <w:t xml:space="preserve"> lor finală în serie va duce la o scădere considerabilă a prețului, valorificând lecțiile </w:t>
            </w:r>
            <w:r w:rsidR="00B65BDB" w:rsidRPr="0048156D">
              <w:rPr>
                <w:rFonts w:ascii="Times New Roman" w:hAnsi="Times New Roman" w:cs="Times New Roman"/>
                <w:sz w:val="22"/>
                <w:szCs w:val="22"/>
              </w:rPr>
              <w:t>învățate</w:t>
            </w:r>
            <w:r w:rsidRPr="0048156D">
              <w:rPr>
                <w:rFonts w:ascii="Times New Roman" w:hAnsi="Times New Roman" w:cs="Times New Roman"/>
                <w:sz w:val="22"/>
                <w:szCs w:val="22"/>
              </w:rPr>
              <w:t xml:space="preserve"> și </w:t>
            </w:r>
            <w:r w:rsidR="00B65BDB" w:rsidRPr="0048156D">
              <w:rPr>
                <w:rFonts w:ascii="Times New Roman" w:hAnsi="Times New Roman" w:cs="Times New Roman"/>
                <w:sz w:val="22"/>
                <w:szCs w:val="22"/>
              </w:rPr>
              <w:t>experiențele</w:t>
            </w:r>
            <w:r w:rsidRPr="0048156D">
              <w:rPr>
                <w:rFonts w:ascii="Times New Roman" w:hAnsi="Times New Roman" w:cs="Times New Roman"/>
                <w:sz w:val="22"/>
                <w:szCs w:val="22"/>
              </w:rPr>
              <w:t xml:space="preserve"> anterioare de implementare </w:t>
            </w:r>
            <w:r w:rsidR="00B65BDB" w:rsidRPr="0048156D">
              <w:rPr>
                <w:rFonts w:ascii="Times New Roman" w:hAnsi="Times New Roman" w:cs="Times New Roman"/>
                <w:sz w:val="22"/>
                <w:szCs w:val="22"/>
              </w:rPr>
              <w:t>și</w:t>
            </w:r>
            <w:r w:rsidRPr="0048156D">
              <w:rPr>
                <w:rFonts w:ascii="Times New Roman" w:hAnsi="Times New Roman" w:cs="Times New Roman"/>
                <w:sz w:val="22"/>
                <w:szCs w:val="22"/>
              </w:rPr>
              <w:t xml:space="preserve"> operare.</w:t>
            </w:r>
          </w:p>
        </w:tc>
        <w:tc>
          <w:tcPr>
            <w:tcW w:w="3882" w:type="dxa"/>
          </w:tcPr>
          <w:p w14:paraId="5E717225" w14:textId="10FDCD08" w:rsidR="00903180" w:rsidRPr="0048156D" w:rsidRDefault="00477AF7" w:rsidP="006F439C">
            <w:pPr>
              <w:rPr>
                <w:rFonts w:ascii="Times New Roman" w:hAnsi="Times New Roman" w:cs="Times New Roman"/>
                <w:sz w:val="22"/>
                <w:szCs w:val="22"/>
              </w:rPr>
            </w:pPr>
            <w:r w:rsidRPr="0048156D">
              <w:rPr>
                <w:rFonts w:ascii="Times New Roman" w:hAnsi="Times New Roman" w:cs="Times New Roman"/>
                <w:sz w:val="22"/>
                <w:szCs w:val="22"/>
              </w:rPr>
              <w:t>Proiectul Strategiei Energetice pentru perioada 2025-2050, respectiv, raportul ESM, aduc în premieră în discuție subiectul cu privire la posibila dezvoltare a domeniului energiei nucleare în Republica Moldova. Nu sunt ținte bine definite. Obiectivul constă în acceptarea posibilităților de implementare a proiectelor centralelor de tip SMR, dar, în dependență de faptul cum va evolua situația în SUA și în România. Se acceptă comentariul oferit de partea română referitor la tehnologiile „</w:t>
            </w:r>
            <w:proofErr w:type="spellStart"/>
            <w:r w:rsidRPr="0048156D">
              <w:rPr>
                <w:rFonts w:ascii="Times New Roman" w:hAnsi="Times New Roman" w:cs="Times New Roman"/>
                <w:sz w:val="22"/>
                <w:szCs w:val="22"/>
              </w:rPr>
              <w:t>nth</w:t>
            </w:r>
            <w:proofErr w:type="spellEnd"/>
            <w:r w:rsidRPr="0048156D">
              <w:rPr>
                <w:rFonts w:ascii="Times New Roman" w:hAnsi="Times New Roman" w:cs="Times New Roman"/>
                <w:sz w:val="22"/>
                <w:szCs w:val="22"/>
              </w:rPr>
              <w:t>-of-a-</w:t>
            </w:r>
            <w:proofErr w:type="spellStart"/>
            <w:r w:rsidRPr="0048156D">
              <w:rPr>
                <w:rFonts w:ascii="Times New Roman" w:hAnsi="Times New Roman" w:cs="Times New Roman"/>
                <w:sz w:val="22"/>
                <w:szCs w:val="22"/>
              </w:rPr>
              <w:t>kind</w:t>
            </w:r>
            <w:proofErr w:type="spellEnd"/>
            <w:r w:rsidRPr="0048156D">
              <w:rPr>
                <w:rFonts w:ascii="Times New Roman" w:hAnsi="Times New Roman" w:cs="Times New Roman"/>
                <w:sz w:val="22"/>
                <w:szCs w:val="22"/>
              </w:rPr>
              <w:t>” versus „</w:t>
            </w:r>
            <w:proofErr w:type="spellStart"/>
            <w:r w:rsidRPr="0048156D">
              <w:rPr>
                <w:rFonts w:ascii="Times New Roman" w:hAnsi="Times New Roman" w:cs="Times New Roman"/>
                <w:sz w:val="22"/>
                <w:szCs w:val="22"/>
              </w:rPr>
              <w:t>fuirst</w:t>
            </w:r>
            <w:proofErr w:type="spellEnd"/>
            <w:r w:rsidRPr="0048156D">
              <w:rPr>
                <w:rFonts w:ascii="Times New Roman" w:hAnsi="Times New Roman" w:cs="Times New Roman"/>
                <w:sz w:val="22"/>
                <w:szCs w:val="22"/>
              </w:rPr>
              <w:t>-of-a-</w:t>
            </w:r>
            <w:proofErr w:type="spellStart"/>
            <w:r w:rsidRPr="0048156D">
              <w:rPr>
                <w:rFonts w:ascii="Times New Roman" w:hAnsi="Times New Roman" w:cs="Times New Roman"/>
                <w:sz w:val="22"/>
                <w:szCs w:val="22"/>
              </w:rPr>
              <w:t>kind</w:t>
            </w:r>
            <w:proofErr w:type="spellEnd"/>
            <w:r w:rsidRPr="0048156D">
              <w:rPr>
                <w:rFonts w:ascii="Times New Roman" w:hAnsi="Times New Roman" w:cs="Times New Roman"/>
                <w:sz w:val="22"/>
                <w:szCs w:val="22"/>
              </w:rPr>
              <w:t xml:space="preserve">”. Este foarte mult probabil scenariul de </w:t>
            </w:r>
            <w:r w:rsidR="0038269D" w:rsidRPr="0048156D">
              <w:rPr>
                <w:rFonts w:ascii="Times New Roman" w:hAnsi="Times New Roman" w:cs="Times New Roman"/>
                <w:sz w:val="22"/>
                <w:szCs w:val="22"/>
              </w:rPr>
              <w:t xml:space="preserve">accedere a Republicii Moldova la proiectele de </w:t>
            </w:r>
            <w:r w:rsidR="0038269D" w:rsidRPr="0048156D">
              <w:rPr>
                <w:rFonts w:ascii="Times New Roman" w:hAnsi="Times New Roman" w:cs="Times New Roman"/>
                <w:sz w:val="22"/>
                <w:szCs w:val="22"/>
              </w:rPr>
              <w:lastRenderedPageBreak/>
              <w:t xml:space="preserve">energie nucleară în format de cooperare cu România, sau prin participare la modernizarea centralei de la </w:t>
            </w:r>
            <w:proofErr w:type="spellStart"/>
            <w:r w:rsidR="0038269D" w:rsidRPr="0048156D">
              <w:rPr>
                <w:rFonts w:ascii="Times New Roman" w:hAnsi="Times New Roman" w:cs="Times New Roman"/>
                <w:sz w:val="22"/>
                <w:szCs w:val="22"/>
              </w:rPr>
              <w:t>Cernavodă</w:t>
            </w:r>
            <w:proofErr w:type="spellEnd"/>
            <w:r w:rsidR="0038269D" w:rsidRPr="0048156D">
              <w:rPr>
                <w:rFonts w:ascii="Times New Roman" w:hAnsi="Times New Roman" w:cs="Times New Roman"/>
                <w:sz w:val="22"/>
                <w:szCs w:val="22"/>
              </w:rPr>
              <w:t xml:space="preserve">, sau prin construcția în comun a celor de tip SMR. </w:t>
            </w:r>
            <w:r w:rsidR="009741AC" w:rsidRPr="0048156D">
              <w:rPr>
                <w:rFonts w:ascii="Times New Roman" w:hAnsi="Times New Roman" w:cs="Times New Roman"/>
                <w:sz w:val="22"/>
                <w:szCs w:val="22"/>
              </w:rPr>
              <w:t>Pe această dimensiune vor fi efectuate evaluări caracteristice mai dedicate, inclusiv și de mediu, cu participarea instituțiilor internaționale.</w:t>
            </w:r>
            <w:r w:rsidR="0038269D" w:rsidRPr="0048156D">
              <w:rPr>
                <w:rFonts w:ascii="Times New Roman" w:hAnsi="Times New Roman" w:cs="Times New Roman"/>
                <w:sz w:val="22"/>
                <w:szCs w:val="22"/>
              </w:rPr>
              <w:t xml:space="preserve"> </w:t>
            </w:r>
            <w:r w:rsidRPr="0048156D">
              <w:rPr>
                <w:rFonts w:ascii="Times New Roman" w:hAnsi="Times New Roman" w:cs="Times New Roman"/>
                <w:sz w:val="22"/>
                <w:szCs w:val="22"/>
              </w:rPr>
              <w:t xml:space="preserve"> </w:t>
            </w:r>
          </w:p>
        </w:tc>
      </w:tr>
      <w:tr w:rsidR="00B965C5" w:rsidRPr="0048156D" w14:paraId="77DC5CD2" w14:textId="77777777" w:rsidTr="00C25B82">
        <w:tc>
          <w:tcPr>
            <w:tcW w:w="611" w:type="dxa"/>
          </w:tcPr>
          <w:p w14:paraId="24A17091" w14:textId="7AB63740" w:rsidR="00B965C5" w:rsidRPr="0048156D" w:rsidRDefault="00B965C5" w:rsidP="006F439C">
            <w:pPr>
              <w:rPr>
                <w:rFonts w:ascii="Times New Roman" w:hAnsi="Times New Roman" w:cs="Times New Roman"/>
                <w:sz w:val="22"/>
                <w:szCs w:val="22"/>
              </w:rPr>
            </w:pPr>
            <w:r w:rsidRPr="0048156D">
              <w:rPr>
                <w:rFonts w:ascii="Times New Roman" w:hAnsi="Times New Roman" w:cs="Times New Roman"/>
                <w:sz w:val="22"/>
                <w:szCs w:val="22"/>
              </w:rPr>
              <w:lastRenderedPageBreak/>
              <w:t>5</w:t>
            </w:r>
          </w:p>
        </w:tc>
        <w:tc>
          <w:tcPr>
            <w:tcW w:w="12425" w:type="dxa"/>
            <w:gridSpan w:val="2"/>
          </w:tcPr>
          <w:p w14:paraId="0137986B" w14:textId="77777777" w:rsidR="003E4669" w:rsidRPr="0048156D" w:rsidRDefault="003E4669" w:rsidP="00B965C5">
            <w:pPr>
              <w:jc w:val="center"/>
              <w:rPr>
                <w:rFonts w:ascii="Times New Roman" w:hAnsi="Times New Roman" w:cs="Times New Roman"/>
                <w:b/>
                <w:bCs/>
                <w:sz w:val="22"/>
                <w:szCs w:val="22"/>
              </w:rPr>
            </w:pPr>
          </w:p>
          <w:p w14:paraId="1DDE2833" w14:textId="77777777" w:rsidR="00B965C5" w:rsidRPr="0048156D" w:rsidRDefault="00B965C5" w:rsidP="00B965C5">
            <w:pPr>
              <w:jc w:val="center"/>
              <w:rPr>
                <w:rFonts w:ascii="Times New Roman" w:hAnsi="Times New Roman" w:cs="Times New Roman"/>
                <w:b/>
                <w:bCs/>
                <w:sz w:val="22"/>
                <w:szCs w:val="22"/>
              </w:rPr>
            </w:pPr>
            <w:r w:rsidRPr="0048156D">
              <w:rPr>
                <w:rFonts w:ascii="Times New Roman" w:hAnsi="Times New Roman" w:cs="Times New Roman"/>
                <w:b/>
                <w:bCs/>
                <w:sz w:val="22"/>
                <w:szCs w:val="22"/>
              </w:rPr>
              <w:t>Domeniul apelor</w:t>
            </w:r>
          </w:p>
          <w:p w14:paraId="1A3ED775" w14:textId="5CC4B3EE" w:rsidR="003E4669" w:rsidRPr="0048156D" w:rsidRDefault="003E4669" w:rsidP="00B965C5">
            <w:pPr>
              <w:jc w:val="center"/>
              <w:rPr>
                <w:rFonts w:ascii="Times New Roman" w:hAnsi="Times New Roman" w:cs="Times New Roman"/>
                <w:b/>
                <w:bCs/>
                <w:sz w:val="22"/>
                <w:szCs w:val="22"/>
              </w:rPr>
            </w:pPr>
          </w:p>
        </w:tc>
      </w:tr>
      <w:tr w:rsidR="00C25B82" w:rsidRPr="0048156D" w14:paraId="0C17ED67" w14:textId="77777777" w:rsidTr="00C25B82">
        <w:tc>
          <w:tcPr>
            <w:tcW w:w="611" w:type="dxa"/>
          </w:tcPr>
          <w:p w14:paraId="5BE1E2C4" w14:textId="290E70CD" w:rsidR="00C25B82" w:rsidRPr="0048156D"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5.1</w:t>
            </w:r>
          </w:p>
        </w:tc>
        <w:tc>
          <w:tcPr>
            <w:tcW w:w="8543" w:type="dxa"/>
          </w:tcPr>
          <w:p w14:paraId="03C56A6C" w14:textId="4957F5D6" w:rsidR="00C25B82" w:rsidRPr="0048156D"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Obiectivele propuse prin strategie au caracter general și sunt prezentate sub forma unor categorii de proiecte, fără a specifica elementele esențiale precum amplasamentul, amploarea sau caracteristicile tehnice/capacitatea acestora. Din analiza principalelor categorii de proiecte de investiții propuse, doar 2 proiecte pentru securitatea energetică pot avea impact potențial negativ asupra mediului: interconectarea sistemelor electroenergetice ale Republicii Moldova și ale României prin construcția LEA 400 kV Vulcănești - Chișinău, deține Acord de Mediu nr.01/4745 din 31 decembrie 2019, emis de Agenția de Mediu a Republicii Moldova, care expira la 4 ani de la data emiterii, conform art.23, aliniat 7 al Legii nr.86/2014 privind evaluarea impactului asupra mediului. Proiectul tehnic pentru construcția liniei electrice aeriene LEA de 400 kV -. Vulcănești Chișinău a fost aprobat de Serviciul de stat pentru verificarea și expertizarea proiectelor și construcțiilor, în toamna anului 2023. Conform unui studiul al Băncii Mondiale (noiembrie 2022), construcția stației back-</w:t>
            </w:r>
            <w:proofErr w:type="spellStart"/>
            <w:r w:rsidRPr="0048156D">
              <w:rPr>
                <w:rFonts w:ascii="Times New Roman" w:hAnsi="Times New Roman" w:cs="Times New Roman"/>
                <w:sz w:val="22"/>
                <w:szCs w:val="22"/>
              </w:rPr>
              <w:t>to</w:t>
            </w:r>
            <w:proofErr w:type="spellEnd"/>
            <w:r w:rsidRPr="0048156D">
              <w:rPr>
                <w:rFonts w:ascii="Times New Roman" w:hAnsi="Times New Roman" w:cs="Times New Roman"/>
                <w:sz w:val="22"/>
                <w:szCs w:val="22"/>
              </w:rPr>
              <w:t>-back de la Vulcănești (600 MW) nu mai este justificată tehnic și economic, însă importanta construirii liniei LEA 400 kV Vulcănești- Chișinău a fost confirmată, indiferent de existența stației BtB100. Proiectul LEA 400 kV Vulcănești- Chișinău se dezvoltă doar pe teritoriul Republicii Moldova.</w:t>
            </w:r>
          </w:p>
        </w:tc>
        <w:tc>
          <w:tcPr>
            <w:tcW w:w="3882" w:type="dxa"/>
            <w:vMerge w:val="restart"/>
          </w:tcPr>
          <w:p w14:paraId="4943F8C4" w14:textId="77777777" w:rsidR="00294B0C" w:rsidRPr="0048156D" w:rsidRDefault="00294B0C" w:rsidP="00294B0C">
            <w:pPr>
              <w:rPr>
                <w:rFonts w:ascii="Times New Roman" w:hAnsi="Times New Roman" w:cs="Times New Roman"/>
                <w:sz w:val="22"/>
                <w:szCs w:val="22"/>
              </w:rPr>
            </w:pPr>
            <w:r w:rsidRPr="0048156D">
              <w:rPr>
                <w:rFonts w:ascii="Times New Roman" w:hAnsi="Times New Roman" w:cs="Times New Roman"/>
                <w:sz w:val="22"/>
                <w:szCs w:val="22"/>
              </w:rPr>
              <w:t>S-a luat act.</w:t>
            </w:r>
          </w:p>
          <w:p w14:paraId="4FAB4401" w14:textId="77777777" w:rsidR="00294B0C" w:rsidRPr="0048156D" w:rsidRDefault="00294B0C" w:rsidP="00294B0C">
            <w:pPr>
              <w:rPr>
                <w:rFonts w:ascii="Times New Roman" w:hAnsi="Times New Roman" w:cs="Times New Roman"/>
                <w:sz w:val="22"/>
                <w:szCs w:val="22"/>
              </w:rPr>
            </w:pPr>
            <w:r w:rsidRPr="0048156D">
              <w:rPr>
                <w:rFonts w:ascii="Times New Roman" w:hAnsi="Times New Roman" w:cs="Times New Roman"/>
                <w:sz w:val="22"/>
                <w:szCs w:val="22"/>
              </w:rPr>
              <w:t xml:space="preserve">În Capitolul V, Secțiunea 4, Impactul de mediu, a fost inclus </w:t>
            </w:r>
            <w:proofErr w:type="spellStart"/>
            <w:r w:rsidRPr="0048156D">
              <w:rPr>
                <w:rFonts w:ascii="Times New Roman" w:hAnsi="Times New Roman" w:cs="Times New Roman"/>
                <w:sz w:val="22"/>
                <w:szCs w:val="22"/>
              </w:rPr>
              <w:t>pct</w:t>
            </w:r>
            <w:proofErr w:type="spellEnd"/>
            <w:r w:rsidRPr="0048156D">
              <w:rPr>
                <w:rFonts w:ascii="Times New Roman" w:hAnsi="Times New Roman" w:cs="Times New Roman"/>
                <w:sz w:val="22"/>
                <w:szCs w:val="22"/>
              </w:rPr>
              <w:t xml:space="preserve"> 352. </w:t>
            </w:r>
          </w:p>
          <w:p w14:paraId="47907651" w14:textId="785CBB2B" w:rsidR="00294B0C" w:rsidRPr="0048156D" w:rsidRDefault="00294B0C" w:rsidP="00294B0C">
            <w:pPr>
              <w:rPr>
                <w:rFonts w:ascii="Times New Roman" w:hAnsi="Times New Roman" w:cs="Times New Roman"/>
                <w:sz w:val="22"/>
                <w:szCs w:val="22"/>
              </w:rPr>
            </w:pPr>
            <w:r w:rsidRPr="0048156D">
              <w:rPr>
                <w:rFonts w:ascii="Times New Roman" w:hAnsi="Times New Roman" w:cs="Times New Roman"/>
                <w:sz w:val="22"/>
                <w:szCs w:val="22"/>
              </w:rPr>
              <w:t>Dorim să precizăm că Republica Moldova face parte din Convenția de la Espoo prin care se asigură evaluarea tuturor aspectelor impactului mediu pentru orice proiect de infrastructură. Se elaborează Evaluările Strategice de Mediu pentru toate proiectele de pe teritoriul țării în conformitate cu prevederile naționale și internaționale</w:t>
            </w:r>
          </w:p>
        </w:tc>
      </w:tr>
      <w:tr w:rsidR="00C25B82" w:rsidRPr="0048156D" w14:paraId="47924483" w14:textId="77777777" w:rsidTr="00C25B82">
        <w:tc>
          <w:tcPr>
            <w:tcW w:w="611" w:type="dxa"/>
          </w:tcPr>
          <w:p w14:paraId="0CFB3215" w14:textId="67F01F8F" w:rsidR="00C25B82" w:rsidRPr="0048156D"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5.2</w:t>
            </w:r>
          </w:p>
        </w:tc>
        <w:tc>
          <w:tcPr>
            <w:tcW w:w="8543" w:type="dxa"/>
          </w:tcPr>
          <w:p w14:paraId="1BBD02CF" w14:textId="49E325D4" w:rsidR="00C25B82" w:rsidRPr="0048156D"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iestul LEA 400 kV Vulcănești- Chișinău se dezvoltă doar pe teritoriul Republicii Moldova. proiect de interconectare energetică Moldova -România, partea II: evaluarea fezabilității și studiul de impact de mediu și social (ESIA) pentru stația back -</w:t>
            </w:r>
            <w:proofErr w:type="spellStart"/>
            <w:r w:rsidRPr="0048156D">
              <w:rPr>
                <w:rFonts w:ascii="Times New Roman" w:hAnsi="Times New Roman" w:cs="Times New Roman"/>
                <w:sz w:val="22"/>
                <w:szCs w:val="22"/>
              </w:rPr>
              <w:t>to</w:t>
            </w:r>
            <w:proofErr w:type="spellEnd"/>
            <w:r w:rsidRPr="0048156D">
              <w:rPr>
                <w:rFonts w:ascii="Times New Roman" w:hAnsi="Times New Roman" w:cs="Times New Roman"/>
                <w:sz w:val="22"/>
                <w:szCs w:val="22"/>
              </w:rPr>
              <w:t xml:space="preserve"> -back (</w:t>
            </w:r>
            <w:proofErr w:type="spellStart"/>
            <w:r w:rsidRPr="0048156D">
              <w:rPr>
                <w:rFonts w:ascii="Times New Roman" w:hAnsi="Times New Roman" w:cs="Times New Roman"/>
                <w:sz w:val="22"/>
                <w:szCs w:val="22"/>
              </w:rPr>
              <w:t>BtB</w:t>
            </w:r>
            <w:proofErr w:type="spellEnd"/>
            <w:r w:rsidRPr="0048156D">
              <w:rPr>
                <w:rFonts w:ascii="Times New Roman" w:hAnsi="Times New Roman" w:cs="Times New Roman"/>
                <w:sz w:val="22"/>
                <w:szCs w:val="22"/>
              </w:rPr>
              <w:t>) Bălți și LEA 400 KV Bălți - Suceava. Studiul de fezabilitate integral a fost elaborat în decembrie 2021, pentru LEA 400 kV Bălți Suceava și Stația Back-</w:t>
            </w:r>
            <w:proofErr w:type="spellStart"/>
            <w:r w:rsidRPr="0048156D">
              <w:rPr>
                <w:rFonts w:ascii="Times New Roman" w:hAnsi="Times New Roman" w:cs="Times New Roman"/>
                <w:sz w:val="22"/>
                <w:szCs w:val="22"/>
              </w:rPr>
              <w:t>to</w:t>
            </w:r>
            <w:proofErr w:type="spellEnd"/>
            <w:r w:rsidRPr="0048156D">
              <w:rPr>
                <w:rFonts w:ascii="Times New Roman" w:hAnsi="Times New Roman" w:cs="Times New Roman"/>
                <w:sz w:val="22"/>
                <w:szCs w:val="22"/>
              </w:rPr>
              <w:t xml:space="preserve">-Back Bălți iar în urma elaborării Studiului privind evaluarea impactului asupra mediului s-a derulat etapa de consultări publice - dezbateri a studiului în luna octombrie 2023. Proiectul LEA 400 kV Bălți - Suceava implică și dezvoltări pe teritoriul României și se consideră că doar acestea ar putea produce impact trans frontieră. La pagina 88 a Strategiei (DP 4.2. Asigurarea unei cote de cel puțin 85% din energia electrică generată locală să fie din surse regenerabile) și pagina 22 (Direcția prioritară 4.2.) </w:t>
            </w:r>
            <w:r w:rsidRPr="0048156D">
              <w:rPr>
                <w:rFonts w:ascii="Times New Roman" w:hAnsi="Times New Roman" w:cs="Times New Roman"/>
                <w:sz w:val="22"/>
                <w:szCs w:val="22"/>
              </w:rPr>
              <w:lastRenderedPageBreak/>
              <w:t>Raportului privind ESM, se menționează că, în ceea ce privește valorificarea potențialului hidroenergetic, în Republica Moldova vor fi promovate doar proiectele care nu generează modificări ireversibile ale mediului. În scopul contribuției la creșterea flexibilității sistemului electroenergetic prioritate va fi acordată centralelor cu acumulare și pompaj. În acest context, în Raportul de Mediu se formulează recomandări cu caracter general, aplicabile implementării acestor tipuri de proiecte, precum și măsuri orientate către aspectele de mediu relevante, care vor trebui adaptate la specificul fiecărui proiect și amplasament.</w:t>
            </w:r>
          </w:p>
        </w:tc>
        <w:tc>
          <w:tcPr>
            <w:tcW w:w="3882" w:type="dxa"/>
            <w:vMerge/>
          </w:tcPr>
          <w:p w14:paraId="3D217500" w14:textId="77777777" w:rsidR="00C25B82" w:rsidRPr="0048156D" w:rsidRDefault="00C25B82" w:rsidP="006F439C">
            <w:pPr>
              <w:rPr>
                <w:rFonts w:ascii="Times New Roman" w:hAnsi="Times New Roman" w:cs="Times New Roman"/>
                <w:sz w:val="22"/>
                <w:szCs w:val="22"/>
              </w:rPr>
            </w:pPr>
          </w:p>
        </w:tc>
      </w:tr>
      <w:tr w:rsidR="00C25B82" w:rsidRPr="0048156D" w14:paraId="28824544" w14:textId="77777777" w:rsidTr="00C25B82">
        <w:tc>
          <w:tcPr>
            <w:tcW w:w="611" w:type="dxa"/>
          </w:tcPr>
          <w:p w14:paraId="515B2251" w14:textId="77777777" w:rsidR="00C25B82" w:rsidRPr="0048156D" w:rsidRDefault="00C25B82" w:rsidP="006F439C">
            <w:pPr>
              <w:rPr>
                <w:rFonts w:ascii="Times New Roman" w:hAnsi="Times New Roman" w:cs="Times New Roman"/>
                <w:sz w:val="22"/>
                <w:szCs w:val="22"/>
              </w:rPr>
            </w:pPr>
          </w:p>
        </w:tc>
        <w:tc>
          <w:tcPr>
            <w:tcW w:w="8543" w:type="dxa"/>
          </w:tcPr>
          <w:p w14:paraId="30405744" w14:textId="77777777" w:rsidR="00C25B82" w:rsidRPr="0048156D" w:rsidRDefault="00C25B82" w:rsidP="006F439C">
            <w:pPr>
              <w:rPr>
                <w:rFonts w:ascii="Times New Roman" w:hAnsi="Times New Roman" w:cs="Times New Roman"/>
                <w:sz w:val="22"/>
                <w:szCs w:val="22"/>
              </w:rPr>
            </w:pPr>
          </w:p>
        </w:tc>
        <w:tc>
          <w:tcPr>
            <w:tcW w:w="3882" w:type="dxa"/>
            <w:vMerge/>
          </w:tcPr>
          <w:p w14:paraId="2F609D60" w14:textId="77777777" w:rsidR="00C25B82" w:rsidRPr="0048156D" w:rsidRDefault="00C25B82" w:rsidP="006F439C">
            <w:pPr>
              <w:rPr>
                <w:rFonts w:ascii="Times New Roman" w:hAnsi="Times New Roman" w:cs="Times New Roman"/>
                <w:sz w:val="22"/>
                <w:szCs w:val="22"/>
              </w:rPr>
            </w:pPr>
          </w:p>
        </w:tc>
      </w:tr>
      <w:tr w:rsidR="00C25B82" w:rsidRPr="0048156D" w14:paraId="2F56CDE3" w14:textId="77777777" w:rsidTr="00C25B82">
        <w:tc>
          <w:tcPr>
            <w:tcW w:w="611" w:type="dxa"/>
          </w:tcPr>
          <w:p w14:paraId="28A80FEE" w14:textId="77777777" w:rsidR="00C25B82" w:rsidRPr="0048156D" w:rsidRDefault="00C25B82" w:rsidP="006F439C">
            <w:pPr>
              <w:rPr>
                <w:rFonts w:ascii="Times New Roman" w:hAnsi="Times New Roman" w:cs="Times New Roman"/>
                <w:sz w:val="22"/>
                <w:szCs w:val="22"/>
              </w:rPr>
            </w:pPr>
          </w:p>
        </w:tc>
        <w:tc>
          <w:tcPr>
            <w:tcW w:w="8543" w:type="dxa"/>
          </w:tcPr>
          <w:p w14:paraId="5277E936" w14:textId="3B2392A8" w:rsidR="00C25B82" w:rsidRPr="0048156D"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Strategia face referire la un sistem de indicatori reprezentativ pentru monitorizarea efectelor semnificative asupra mediului generate de implementarea sa, obiectivul monitorizării fiind menținerea unor limite stabilite de legislație și conservarea sistemelor ecologice și socioeconomice pentru evitarea degradării mediului natural ca urmare a acțiunilor rezultate din implementarea strategiei. Având în vedere cele prezentate mai sus, Implementarea Strategiei Energetice a Republicii Moldova pentru perioada 2025-2050 este susceptibilă de a avea impacturi transfrontaliere asupra resurselor de apă, în special în cadrul bazinului hidrografic comun ale râului Prut.</w:t>
            </w:r>
          </w:p>
        </w:tc>
        <w:tc>
          <w:tcPr>
            <w:tcW w:w="3882" w:type="dxa"/>
            <w:vMerge/>
          </w:tcPr>
          <w:p w14:paraId="5D3AAEF5" w14:textId="77777777" w:rsidR="00C25B82" w:rsidRPr="0048156D" w:rsidRDefault="00C25B82" w:rsidP="006F439C">
            <w:pPr>
              <w:rPr>
                <w:rFonts w:ascii="Times New Roman" w:hAnsi="Times New Roman" w:cs="Times New Roman"/>
                <w:sz w:val="22"/>
                <w:szCs w:val="22"/>
              </w:rPr>
            </w:pPr>
          </w:p>
        </w:tc>
      </w:tr>
      <w:tr w:rsidR="00C25B82" w:rsidRPr="00C25B82" w14:paraId="263CA1BB" w14:textId="77777777" w:rsidTr="00C25B82">
        <w:tc>
          <w:tcPr>
            <w:tcW w:w="611" w:type="dxa"/>
          </w:tcPr>
          <w:p w14:paraId="302551FC" w14:textId="77777777" w:rsidR="00C25B82" w:rsidRPr="0048156D" w:rsidRDefault="00C25B82" w:rsidP="006F439C">
            <w:pPr>
              <w:rPr>
                <w:rFonts w:ascii="Times New Roman" w:hAnsi="Times New Roman" w:cs="Times New Roman"/>
                <w:sz w:val="22"/>
                <w:szCs w:val="22"/>
              </w:rPr>
            </w:pPr>
          </w:p>
        </w:tc>
        <w:tc>
          <w:tcPr>
            <w:tcW w:w="8543" w:type="dxa"/>
          </w:tcPr>
          <w:p w14:paraId="22C70631" w14:textId="597C3493" w:rsidR="00C25B82" w:rsidRPr="00C25B82" w:rsidRDefault="00C25B82" w:rsidP="006F439C">
            <w:pPr>
              <w:rPr>
                <w:rFonts w:ascii="Times New Roman" w:hAnsi="Times New Roman" w:cs="Times New Roman"/>
                <w:sz w:val="22"/>
                <w:szCs w:val="22"/>
              </w:rPr>
            </w:pPr>
            <w:r w:rsidRPr="0048156D">
              <w:rPr>
                <w:rFonts w:ascii="Times New Roman" w:hAnsi="Times New Roman" w:cs="Times New Roman"/>
                <w:sz w:val="22"/>
                <w:szCs w:val="22"/>
              </w:rPr>
              <w:t>Deși Strategia nu prevede realizarea unor proiecte concrete cu impact transfrontalier semnificativ direct, dezvoltarea infrastructurii energetice și a interconexiunilor cu statele vecine poate genera efecte cumulative asupra calității apelor, regimului hidrologic și ecosistemelor acvatice.</w:t>
            </w:r>
          </w:p>
        </w:tc>
        <w:tc>
          <w:tcPr>
            <w:tcW w:w="3882" w:type="dxa"/>
            <w:vMerge/>
          </w:tcPr>
          <w:p w14:paraId="484550E1" w14:textId="77777777" w:rsidR="00C25B82" w:rsidRPr="00C25B82" w:rsidRDefault="00C25B82" w:rsidP="006F439C">
            <w:pPr>
              <w:rPr>
                <w:rFonts w:ascii="Times New Roman" w:hAnsi="Times New Roman" w:cs="Times New Roman"/>
                <w:sz w:val="22"/>
                <w:szCs w:val="22"/>
              </w:rPr>
            </w:pPr>
          </w:p>
        </w:tc>
      </w:tr>
    </w:tbl>
    <w:p w14:paraId="5CAF5DE3" w14:textId="77777777" w:rsidR="004844CC" w:rsidRPr="00C25B82" w:rsidRDefault="004844CC">
      <w:pPr>
        <w:rPr>
          <w:rFonts w:ascii="Times New Roman" w:hAnsi="Times New Roman" w:cs="Times New Roman"/>
          <w:sz w:val="22"/>
          <w:szCs w:val="22"/>
        </w:rPr>
      </w:pPr>
    </w:p>
    <w:sectPr w:rsidR="004844CC" w:rsidRPr="00C25B82" w:rsidSect="00AF442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009" w14:textId="77777777" w:rsidR="004C50BC" w:rsidRDefault="004C50BC" w:rsidP="00910E43">
      <w:pPr>
        <w:spacing w:after="0" w:line="240" w:lineRule="auto"/>
      </w:pPr>
      <w:r>
        <w:separator/>
      </w:r>
    </w:p>
  </w:endnote>
  <w:endnote w:type="continuationSeparator" w:id="0">
    <w:p w14:paraId="7E4DF600" w14:textId="77777777" w:rsidR="004C50BC" w:rsidRDefault="004C50BC" w:rsidP="0091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0E00" w14:textId="77777777" w:rsidR="004C50BC" w:rsidRDefault="004C50BC" w:rsidP="00910E43">
      <w:pPr>
        <w:spacing w:after="0" w:line="240" w:lineRule="auto"/>
      </w:pPr>
      <w:r>
        <w:separator/>
      </w:r>
    </w:p>
  </w:footnote>
  <w:footnote w:type="continuationSeparator" w:id="0">
    <w:p w14:paraId="530AE5FA" w14:textId="77777777" w:rsidR="004C50BC" w:rsidRDefault="004C50BC" w:rsidP="00910E43">
      <w:pPr>
        <w:spacing w:after="0" w:line="240" w:lineRule="auto"/>
      </w:pPr>
      <w:r>
        <w:continuationSeparator/>
      </w:r>
    </w:p>
  </w:footnote>
  <w:footnote w:id="1">
    <w:p w14:paraId="1A9A0A5E" w14:textId="77777777" w:rsidR="00910E43" w:rsidRPr="0023684F" w:rsidRDefault="00910E43" w:rsidP="00910E43">
      <w:pPr>
        <w:pStyle w:val="FootnoteText"/>
        <w:rPr>
          <w:lang w:val="ro-RO"/>
        </w:rPr>
      </w:pPr>
      <w:r>
        <w:rPr>
          <w:rStyle w:val="FootnoteReference"/>
        </w:rPr>
        <w:footnoteRef/>
      </w:r>
      <w:r>
        <w:t xml:space="preserve"> </w:t>
      </w:r>
      <w:r w:rsidRPr="0023684F">
        <w:t>Bennun, L., van Bochove, J., Ng, C., Fletcher, C., Wilson, D., Phair, N., Carbone, G. (2021). Mitigating biodiversity impacts associated with solar and wind energy development. Guidelines for project developers. Gland, Switzerland: IUCN and Cambridge, UK: The Biodiversity Consultancy</w:t>
      </w:r>
    </w:p>
  </w:footnote>
  <w:footnote w:id="2">
    <w:p w14:paraId="228C7119" w14:textId="77777777" w:rsidR="00910E43" w:rsidRPr="0023684F" w:rsidRDefault="00910E43" w:rsidP="00910E43">
      <w:pPr>
        <w:pStyle w:val="FootnoteText"/>
        <w:rPr>
          <w:lang w:val="ro-RO"/>
        </w:rPr>
      </w:pPr>
      <w:r>
        <w:rPr>
          <w:rStyle w:val="FootnoteReference"/>
        </w:rPr>
        <w:footnoteRef/>
      </w:r>
      <w:r>
        <w:t xml:space="preserve"> </w:t>
      </w:r>
      <w:r w:rsidRPr="0023684F">
        <w:t xml:space="preserve">European Bank for Reconstruction and Development. 2019. Environmental and Social Policy (ESP). URL: </w:t>
      </w:r>
      <w:hyperlink r:id="rId1" w:history="1">
        <w:r w:rsidRPr="00C671A3">
          <w:rPr>
            <w:rStyle w:val="Hyperlink"/>
          </w:rPr>
          <w:t>https://www.ebrd.com/news/publications/policies/environmental-and-social-policy-esp.html</w:t>
        </w:r>
      </w:hyperlink>
      <w:r>
        <w:t xml:space="preserve"> </w:t>
      </w:r>
    </w:p>
  </w:footnote>
  <w:footnote w:id="3">
    <w:p w14:paraId="05C76D23" w14:textId="77777777" w:rsidR="00910E43" w:rsidRPr="004C75B5" w:rsidRDefault="00910E43" w:rsidP="00910E43">
      <w:pPr>
        <w:pStyle w:val="FootnoteText"/>
        <w:rPr>
          <w:lang w:val="ro-RO"/>
        </w:rPr>
      </w:pPr>
      <w:r>
        <w:rPr>
          <w:rStyle w:val="FootnoteReference"/>
        </w:rPr>
        <w:footnoteRef/>
      </w:r>
      <w:r>
        <w:t xml:space="preserve"> </w:t>
      </w:r>
      <w:r w:rsidRPr="004C75B5">
        <w:t xml:space="preserve">European Commission, (2000). Commission notice Guidance document on wind energy developments and EU nature legislation. URL: </w:t>
      </w:r>
      <w:hyperlink r:id="rId2" w:history="1">
        <w:r w:rsidRPr="00C671A3">
          <w:rPr>
            <w:rStyle w:val="Hyperlink"/>
          </w:rPr>
          <w:t>https://ec.europa.eu/environment/nature/natura2000/management/docs/wind_farms_en.pdf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04"/>
    <w:rsid w:val="000001D2"/>
    <w:rsid w:val="00016700"/>
    <w:rsid w:val="0007554B"/>
    <w:rsid w:val="000927D9"/>
    <w:rsid w:val="00141C39"/>
    <w:rsid w:val="001673C9"/>
    <w:rsid w:val="00274527"/>
    <w:rsid w:val="00294B0C"/>
    <w:rsid w:val="002C1EAE"/>
    <w:rsid w:val="0038269D"/>
    <w:rsid w:val="003E4669"/>
    <w:rsid w:val="004376FE"/>
    <w:rsid w:val="00477AF7"/>
    <w:rsid w:val="0048156D"/>
    <w:rsid w:val="004844CC"/>
    <w:rsid w:val="004C50BC"/>
    <w:rsid w:val="004F6E30"/>
    <w:rsid w:val="0053241B"/>
    <w:rsid w:val="00586A44"/>
    <w:rsid w:val="005908F7"/>
    <w:rsid w:val="00645FE6"/>
    <w:rsid w:val="006C4C52"/>
    <w:rsid w:val="00713DB0"/>
    <w:rsid w:val="00825F30"/>
    <w:rsid w:val="008445DE"/>
    <w:rsid w:val="008603C3"/>
    <w:rsid w:val="00903180"/>
    <w:rsid w:val="00910E43"/>
    <w:rsid w:val="009741AC"/>
    <w:rsid w:val="009B03C6"/>
    <w:rsid w:val="00A860F3"/>
    <w:rsid w:val="00AF442F"/>
    <w:rsid w:val="00B11304"/>
    <w:rsid w:val="00B33A86"/>
    <w:rsid w:val="00B65BDB"/>
    <w:rsid w:val="00B965C5"/>
    <w:rsid w:val="00BF2383"/>
    <w:rsid w:val="00C14136"/>
    <w:rsid w:val="00C25B82"/>
    <w:rsid w:val="00C950DC"/>
    <w:rsid w:val="00D432F9"/>
    <w:rsid w:val="00D80172"/>
    <w:rsid w:val="00D9129A"/>
    <w:rsid w:val="00E61CEA"/>
    <w:rsid w:val="00F80BE8"/>
    <w:rsid w:val="00F96D67"/>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F3DA"/>
  <w15:chartTrackingRefBased/>
  <w15:docId w15:val="{1615D6E7-DE27-4850-9BED-7D8BA5FB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1">
    <w:name w:val="heading 1"/>
    <w:basedOn w:val="Normal"/>
    <w:next w:val="Normal"/>
    <w:link w:val="Heading1Char"/>
    <w:uiPriority w:val="9"/>
    <w:qFormat/>
    <w:rsid w:val="00B11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304"/>
    <w:rPr>
      <w:rFonts w:asciiTheme="majorHAnsi" w:eastAsiaTheme="majorEastAsia" w:hAnsiTheme="majorHAnsi" w:cstheme="majorBidi"/>
      <w:color w:val="0F4761" w:themeColor="accent1" w:themeShade="BF"/>
      <w:sz w:val="40"/>
      <w:szCs w:val="40"/>
      <w:lang w:val="ro-MD"/>
    </w:rPr>
  </w:style>
  <w:style w:type="character" w:customStyle="1" w:styleId="Heading2Char">
    <w:name w:val="Heading 2 Char"/>
    <w:basedOn w:val="DefaultParagraphFont"/>
    <w:link w:val="Heading2"/>
    <w:uiPriority w:val="9"/>
    <w:semiHidden/>
    <w:rsid w:val="00B11304"/>
    <w:rPr>
      <w:rFonts w:asciiTheme="majorHAnsi" w:eastAsiaTheme="majorEastAsia" w:hAnsiTheme="majorHAnsi" w:cstheme="majorBidi"/>
      <w:color w:val="0F4761" w:themeColor="accent1" w:themeShade="BF"/>
      <w:sz w:val="32"/>
      <w:szCs w:val="32"/>
      <w:lang w:val="ro-MD"/>
    </w:rPr>
  </w:style>
  <w:style w:type="character" w:customStyle="1" w:styleId="Heading3Char">
    <w:name w:val="Heading 3 Char"/>
    <w:basedOn w:val="DefaultParagraphFont"/>
    <w:link w:val="Heading3"/>
    <w:uiPriority w:val="9"/>
    <w:semiHidden/>
    <w:rsid w:val="00B11304"/>
    <w:rPr>
      <w:rFonts w:eastAsiaTheme="majorEastAsia" w:cstheme="majorBidi"/>
      <w:color w:val="0F4761" w:themeColor="accent1" w:themeShade="BF"/>
      <w:sz w:val="28"/>
      <w:szCs w:val="28"/>
      <w:lang w:val="ro-MD"/>
    </w:rPr>
  </w:style>
  <w:style w:type="character" w:customStyle="1" w:styleId="Heading4Char">
    <w:name w:val="Heading 4 Char"/>
    <w:basedOn w:val="DefaultParagraphFont"/>
    <w:link w:val="Heading4"/>
    <w:uiPriority w:val="9"/>
    <w:semiHidden/>
    <w:rsid w:val="00B11304"/>
    <w:rPr>
      <w:rFonts w:eastAsiaTheme="majorEastAsia" w:cstheme="majorBidi"/>
      <w:i/>
      <w:iCs/>
      <w:color w:val="0F4761" w:themeColor="accent1" w:themeShade="BF"/>
      <w:lang w:val="ro-MD"/>
    </w:rPr>
  </w:style>
  <w:style w:type="character" w:customStyle="1" w:styleId="Heading5Char">
    <w:name w:val="Heading 5 Char"/>
    <w:basedOn w:val="DefaultParagraphFont"/>
    <w:link w:val="Heading5"/>
    <w:uiPriority w:val="9"/>
    <w:semiHidden/>
    <w:rsid w:val="00B11304"/>
    <w:rPr>
      <w:rFonts w:eastAsiaTheme="majorEastAsia" w:cstheme="majorBidi"/>
      <w:color w:val="0F4761" w:themeColor="accent1" w:themeShade="BF"/>
      <w:lang w:val="ro-MD"/>
    </w:rPr>
  </w:style>
  <w:style w:type="character" w:customStyle="1" w:styleId="Heading6Char">
    <w:name w:val="Heading 6 Char"/>
    <w:basedOn w:val="DefaultParagraphFont"/>
    <w:link w:val="Heading6"/>
    <w:uiPriority w:val="9"/>
    <w:semiHidden/>
    <w:rsid w:val="00B11304"/>
    <w:rPr>
      <w:rFonts w:eastAsiaTheme="majorEastAsia" w:cstheme="majorBidi"/>
      <w:i/>
      <w:iCs/>
      <w:color w:val="595959" w:themeColor="text1" w:themeTint="A6"/>
      <w:lang w:val="ro-MD"/>
    </w:rPr>
  </w:style>
  <w:style w:type="character" w:customStyle="1" w:styleId="Heading7Char">
    <w:name w:val="Heading 7 Char"/>
    <w:basedOn w:val="DefaultParagraphFont"/>
    <w:link w:val="Heading7"/>
    <w:uiPriority w:val="9"/>
    <w:semiHidden/>
    <w:rsid w:val="00B11304"/>
    <w:rPr>
      <w:rFonts w:eastAsiaTheme="majorEastAsia" w:cstheme="majorBidi"/>
      <w:color w:val="595959" w:themeColor="text1" w:themeTint="A6"/>
      <w:lang w:val="ro-MD"/>
    </w:rPr>
  </w:style>
  <w:style w:type="character" w:customStyle="1" w:styleId="Heading8Char">
    <w:name w:val="Heading 8 Char"/>
    <w:basedOn w:val="DefaultParagraphFont"/>
    <w:link w:val="Heading8"/>
    <w:uiPriority w:val="9"/>
    <w:semiHidden/>
    <w:rsid w:val="00B11304"/>
    <w:rPr>
      <w:rFonts w:eastAsiaTheme="majorEastAsia" w:cstheme="majorBidi"/>
      <w:i/>
      <w:iCs/>
      <w:color w:val="272727" w:themeColor="text1" w:themeTint="D8"/>
      <w:lang w:val="ro-MD"/>
    </w:rPr>
  </w:style>
  <w:style w:type="character" w:customStyle="1" w:styleId="Heading9Char">
    <w:name w:val="Heading 9 Char"/>
    <w:basedOn w:val="DefaultParagraphFont"/>
    <w:link w:val="Heading9"/>
    <w:uiPriority w:val="9"/>
    <w:semiHidden/>
    <w:rsid w:val="00B11304"/>
    <w:rPr>
      <w:rFonts w:eastAsiaTheme="majorEastAsia" w:cstheme="majorBidi"/>
      <w:color w:val="272727" w:themeColor="text1" w:themeTint="D8"/>
      <w:lang w:val="ro-MD"/>
    </w:rPr>
  </w:style>
  <w:style w:type="paragraph" w:styleId="Title">
    <w:name w:val="Title"/>
    <w:basedOn w:val="Normal"/>
    <w:next w:val="Normal"/>
    <w:link w:val="TitleChar"/>
    <w:uiPriority w:val="10"/>
    <w:qFormat/>
    <w:rsid w:val="00B1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304"/>
    <w:rPr>
      <w:rFonts w:asciiTheme="majorHAnsi" w:eastAsiaTheme="majorEastAsia" w:hAnsiTheme="majorHAnsi" w:cstheme="majorBidi"/>
      <w:spacing w:val="-10"/>
      <w:kern w:val="28"/>
      <w:sz w:val="56"/>
      <w:szCs w:val="56"/>
      <w:lang w:val="ro-MD"/>
    </w:rPr>
  </w:style>
  <w:style w:type="paragraph" w:styleId="Subtitle">
    <w:name w:val="Subtitle"/>
    <w:basedOn w:val="Normal"/>
    <w:next w:val="Normal"/>
    <w:link w:val="SubtitleChar"/>
    <w:uiPriority w:val="11"/>
    <w:qFormat/>
    <w:rsid w:val="00B11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304"/>
    <w:rPr>
      <w:rFonts w:eastAsiaTheme="majorEastAsia" w:cstheme="majorBidi"/>
      <w:color w:val="595959" w:themeColor="text1" w:themeTint="A6"/>
      <w:spacing w:val="15"/>
      <w:sz w:val="28"/>
      <w:szCs w:val="28"/>
      <w:lang w:val="ro-MD"/>
    </w:rPr>
  </w:style>
  <w:style w:type="paragraph" w:styleId="Quote">
    <w:name w:val="Quote"/>
    <w:basedOn w:val="Normal"/>
    <w:next w:val="Normal"/>
    <w:link w:val="QuoteChar"/>
    <w:uiPriority w:val="29"/>
    <w:qFormat/>
    <w:rsid w:val="00B11304"/>
    <w:pPr>
      <w:spacing w:before="160"/>
      <w:jc w:val="center"/>
    </w:pPr>
    <w:rPr>
      <w:i/>
      <w:iCs/>
      <w:color w:val="404040" w:themeColor="text1" w:themeTint="BF"/>
    </w:rPr>
  </w:style>
  <w:style w:type="character" w:customStyle="1" w:styleId="QuoteChar">
    <w:name w:val="Quote Char"/>
    <w:basedOn w:val="DefaultParagraphFont"/>
    <w:link w:val="Quote"/>
    <w:uiPriority w:val="29"/>
    <w:rsid w:val="00B11304"/>
    <w:rPr>
      <w:i/>
      <w:iCs/>
      <w:color w:val="404040" w:themeColor="text1" w:themeTint="BF"/>
      <w:lang w:val="ro-MD"/>
    </w:rPr>
  </w:style>
  <w:style w:type="paragraph" w:styleId="ListParagraph">
    <w:name w:val="List Paragraph"/>
    <w:basedOn w:val="Normal"/>
    <w:uiPriority w:val="34"/>
    <w:qFormat/>
    <w:rsid w:val="00B11304"/>
    <w:pPr>
      <w:ind w:left="720"/>
      <w:contextualSpacing/>
    </w:pPr>
  </w:style>
  <w:style w:type="character" w:styleId="IntenseEmphasis">
    <w:name w:val="Intense Emphasis"/>
    <w:basedOn w:val="DefaultParagraphFont"/>
    <w:uiPriority w:val="21"/>
    <w:qFormat/>
    <w:rsid w:val="00B11304"/>
    <w:rPr>
      <w:i/>
      <w:iCs/>
      <w:color w:val="0F4761" w:themeColor="accent1" w:themeShade="BF"/>
    </w:rPr>
  </w:style>
  <w:style w:type="paragraph" w:styleId="IntenseQuote">
    <w:name w:val="Intense Quote"/>
    <w:basedOn w:val="Normal"/>
    <w:next w:val="Normal"/>
    <w:link w:val="IntenseQuoteChar"/>
    <w:uiPriority w:val="30"/>
    <w:qFormat/>
    <w:rsid w:val="00B11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304"/>
    <w:rPr>
      <w:i/>
      <w:iCs/>
      <w:color w:val="0F4761" w:themeColor="accent1" w:themeShade="BF"/>
      <w:lang w:val="ro-MD"/>
    </w:rPr>
  </w:style>
  <w:style w:type="character" w:styleId="IntenseReference">
    <w:name w:val="Intense Reference"/>
    <w:basedOn w:val="DefaultParagraphFont"/>
    <w:uiPriority w:val="32"/>
    <w:qFormat/>
    <w:rsid w:val="00B11304"/>
    <w:rPr>
      <w:b/>
      <w:bCs/>
      <w:smallCaps/>
      <w:color w:val="0F4761" w:themeColor="accent1" w:themeShade="BF"/>
      <w:spacing w:val="5"/>
    </w:rPr>
  </w:style>
  <w:style w:type="table" w:styleId="TableGrid">
    <w:name w:val="Table Grid"/>
    <w:basedOn w:val="TableNormal"/>
    <w:uiPriority w:val="39"/>
    <w:rsid w:val="0090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E43"/>
    <w:rPr>
      <w:color w:val="467886" w:themeColor="hyperlink"/>
      <w:u w:val="single"/>
    </w:rPr>
  </w:style>
  <w:style w:type="paragraph" w:styleId="FootnoteText">
    <w:name w:val="footnote text"/>
    <w:aliases w:val="Geneva 9,Font: Geneva 9,Boston 10,f,fn,single space,FOOTNOTES,Footnote Text Blue,Char Char Char Char2,Footnote,otnote Text,Fußnote,ADB Char Char,ADB Char Char Char,ADB Char Char Char Char Char Char Char,A,ft Ch,Schriftart: 9 pt,FoodNote,ft"/>
    <w:basedOn w:val="Normal"/>
    <w:link w:val="FootnoteTextChar"/>
    <w:uiPriority w:val="99"/>
    <w:unhideWhenUsed/>
    <w:qFormat/>
    <w:rsid w:val="00910E43"/>
    <w:pPr>
      <w:spacing w:after="0" w:line="240" w:lineRule="auto"/>
    </w:pPr>
    <w:rPr>
      <w:sz w:val="20"/>
      <w:szCs w:val="20"/>
      <w:lang w:val="en-US"/>
    </w:rPr>
  </w:style>
  <w:style w:type="character" w:customStyle="1" w:styleId="FootnoteTextChar">
    <w:name w:val="Footnote Text Char"/>
    <w:aliases w:val="Geneva 9 Char,Font: Geneva 9 Char,Boston 10 Char,f Char,fn Char,single space Char,FOOTNOTES Char,Footnote Text Blue Char,Char Char Char Char2 Char,Footnote Char,otnote Text Char,Fußnote Char,ADB Char Char Char1,ADB Char Char Char Char"/>
    <w:basedOn w:val="DefaultParagraphFont"/>
    <w:link w:val="FootnoteText"/>
    <w:uiPriority w:val="99"/>
    <w:rsid w:val="00910E43"/>
    <w:rPr>
      <w:sz w:val="20"/>
      <w:szCs w:val="20"/>
    </w:rPr>
  </w:style>
  <w:style w:type="character" w:styleId="FootnoteReference">
    <w:name w:val="footnote reference"/>
    <w:aliases w:val="16 Point,Superscript 6 Point,Superscript 6 Point + 11 pt,ftref,BVI fnr,BVI fnr Car Car,BVI fnr Car,BVI fnr Car Car Car Car,Footnote text,Footnotes refss,Footnote Reference1,Footnote Reference Number,Footnote Reference_LVL6,No,Ref"/>
    <w:basedOn w:val="DefaultParagraphFont"/>
    <w:link w:val="CharCharCharCharCarChar"/>
    <w:uiPriority w:val="99"/>
    <w:unhideWhenUsed/>
    <w:qFormat/>
    <w:rsid w:val="00910E43"/>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910E43"/>
    <w:pPr>
      <w:spacing w:after="240" w:line="240" w:lineRule="exact"/>
      <w:jc w:val="both"/>
    </w:pPr>
    <w:rPr>
      <w:vertAlign w:val="superscript"/>
      <w:lang w:val="en-US"/>
    </w:rPr>
  </w:style>
  <w:style w:type="paragraph" w:styleId="Revision">
    <w:name w:val="Revision"/>
    <w:hidden/>
    <w:uiPriority w:val="99"/>
    <w:semiHidden/>
    <w:rsid w:val="00294B0C"/>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vironment/nature/natura2000/management/docs/wind_farms_en.pdf" TargetMode="External"/><Relationship Id="rId1" Type="http://schemas.openxmlformats.org/officeDocument/2006/relationships/hyperlink" Target="https://www.ebrd.com/news/publications/policies/environmental-and-social-policy-es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14</cp:revision>
  <dcterms:created xsi:type="dcterms:W3CDTF">2026-01-28T09:35:00Z</dcterms:created>
  <dcterms:modified xsi:type="dcterms:W3CDTF">2026-02-13T06:40:00Z</dcterms:modified>
</cp:coreProperties>
</file>