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D64E" w14:textId="4FF35DAB" w:rsidR="00802DDC" w:rsidRPr="00855728" w:rsidRDefault="00802DDC" w:rsidP="00802DDC">
      <w:pPr>
        <w:pStyle w:val="Titlu3"/>
        <w:numPr>
          <w:ilvl w:val="0"/>
          <w:numId w:val="0"/>
        </w:numPr>
        <w:spacing w:after="0"/>
        <w:jc w:val="center"/>
        <w:rPr>
          <w:i w:val="0"/>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02DDC" w:rsidRPr="00855728" w14:paraId="18CAB63D" w14:textId="77777777" w:rsidTr="004C6A96">
        <w:tc>
          <w:tcPr>
            <w:tcW w:w="9571" w:type="dxa"/>
            <w:shd w:val="clear" w:color="auto" w:fill="auto"/>
          </w:tcPr>
          <w:p w14:paraId="1AB2CAF1" w14:textId="7FFB36C5" w:rsidR="00802DDC" w:rsidRPr="00D21201" w:rsidRDefault="00802DDC" w:rsidP="00A64F7A">
            <w:pPr>
              <w:jc w:val="center"/>
              <w:rPr>
                <w:b/>
                <w:color w:val="000000"/>
                <w:sz w:val="24"/>
                <w:szCs w:val="24"/>
              </w:rPr>
            </w:pPr>
            <w:r w:rsidRPr="00D21201">
              <w:rPr>
                <w:b/>
                <w:color w:val="000000"/>
                <w:sz w:val="24"/>
                <w:szCs w:val="24"/>
              </w:rPr>
              <w:t>Informația necesară pentru efectuarea evaluării prealabile</w:t>
            </w:r>
          </w:p>
          <w:p w14:paraId="692104E2" w14:textId="77777777" w:rsidR="00802DDC" w:rsidRPr="00D21201" w:rsidRDefault="00802DDC" w:rsidP="00F366BA">
            <w:pPr>
              <w:jc w:val="both"/>
              <w:rPr>
                <w:b/>
                <w:sz w:val="24"/>
                <w:szCs w:val="24"/>
              </w:rPr>
            </w:pPr>
          </w:p>
          <w:p w14:paraId="32C53109" w14:textId="77777777" w:rsidR="00802DDC" w:rsidRPr="00D21201" w:rsidRDefault="00802DDC" w:rsidP="00F366BA">
            <w:pPr>
              <w:ind w:left="360"/>
              <w:jc w:val="both"/>
              <w:rPr>
                <w:b/>
                <w:sz w:val="24"/>
                <w:szCs w:val="24"/>
              </w:rPr>
            </w:pPr>
            <w:r w:rsidRPr="00D21201">
              <w:rPr>
                <w:b/>
                <w:bCs/>
                <w:sz w:val="24"/>
                <w:szCs w:val="24"/>
                <w:lang w:eastAsia="uk-UA"/>
              </w:rPr>
              <w:t>1) informații despre inițiator</w:t>
            </w:r>
          </w:p>
          <w:p w14:paraId="51F7056D" w14:textId="77777777" w:rsidR="00802DDC" w:rsidRPr="00D21201" w:rsidRDefault="00802DDC" w:rsidP="00F366BA">
            <w:pPr>
              <w:ind w:left="360"/>
              <w:jc w:val="both"/>
              <w:rPr>
                <w:bCs/>
                <w:sz w:val="24"/>
                <w:szCs w:val="24"/>
                <w:u w:val="single"/>
                <w:lang w:eastAsia="uk-UA"/>
              </w:rPr>
            </w:pPr>
            <w:r w:rsidRPr="00D21201">
              <w:rPr>
                <w:bCs/>
                <w:sz w:val="24"/>
                <w:szCs w:val="24"/>
                <w:u w:val="single"/>
                <w:lang w:eastAsia="uk-UA"/>
              </w:rPr>
              <w:t>a) denumirea şi adresa institutiei</w:t>
            </w:r>
          </w:p>
          <w:p w14:paraId="45A89B1B" w14:textId="77777777" w:rsidR="001465A6" w:rsidRPr="00D21201" w:rsidRDefault="001465A6" w:rsidP="00F366BA">
            <w:pPr>
              <w:ind w:left="360"/>
              <w:jc w:val="both"/>
              <w:rPr>
                <w:bCs/>
                <w:sz w:val="24"/>
                <w:szCs w:val="24"/>
                <w:lang w:eastAsia="uk-UA"/>
              </w:rPr>
            </w:pPr>
          </w:p>
          <w:tbl>
            <w:tblPr>
              <w:tblStyle w:val="Tabelgril"/>
              <w:tblW w:w="0" w:type="auto"/>
              <w:tblInd w:w="360" w:type="dxa"/>
              <w:tblLook w:val="04A0" w:firstRow="1" w:lastRow="0" w:firstColumn="1" w:lastColumn="0" w:noHBand="0" w:noVBand="1"/>
            </w:tblPr>
            <w:tblGrid>
              <w:gridCol w:w="4215"/>
              <w:gridCol w:w="4215"/>
            </w:tblGrid>
            <w:tr w:rsidR="0076668C" w:rsidRPr="003C2BCA" w14:paraId="73562AE4" w14:textId="77777777" w:rsidTr="001465A6">
              <w:tc>
                <w:tcPr>
                  <w:tcW w:w="4215" w:type="dxa"/>
                  <w:vMerge w:val="restart"/>
                </w:tcPr>
                <w:p w14:paraId="7781E4BE" w14:textId="25186FA3" w:rsidR="0076668C" w:rsidRPr="003C2BCA" w:rsidRDefault="0076668C" w:rsidP="00F366BA">
                  <w:pPr>
                    <w:jc w:val="both"/>
                    <w:rPr>
                      <w:sz w:val="24"/>
                      <w:szCs w:val="24"/>
                    </w:rPr>
                  </w:pPr>
                  <w:r w:rsidRPr="003C2BCA">
                    <w:rPr>
                      <w:bCs/>
                      <w:sz w:val="24"/>
                      <w:szCs w:val="24"/>
                      <w:lang w:eastAsia="uk-UA"/>
                    </w:rPr>
                    <w:t>Ministerul Energiei</w:t>
                  </w:r>
                </w:p>
              </w:tc>
              <w:tc>
                <w:tcPr>
                  <w:tcW w:w="4215" w:type="dxa"/>
                </w:tcPr>
                <w:p w14:paraId="4D3131F4" w14:textId="699A13B5" w:rsidR="0076668C" w:rsidRPr="003C2BCA" w:rsidRDefault="0076668C" w:rsidP="00F366BA">
                  <w:pPr>
                    <w:jc w:val="both"/>
                    <w:rPr>
                      <w:sz w:val="24"/>
                      <w:szCs w:val="24"/>
                      <w:lang w:val="ro-MD"/>
                    </w:rPr>
                  </w:pPr>
                  <w:r w:rsidRPr="003C2BCA">
                    <w:rPr>
                      <w:sz w:val="24"/>
                      <w:szCs w:val="24"/>
                    </w:rPr>
                    <w:t xml:space="preserve">Adresa: Piata Marii Adinari Naționale, 1 </w:t>
                  </w:r>
                </w:p>
              </w:tc>
            </w:tr>
            <w:tr w:rsidR="0076668C" w:rsidRPr="003C2BCA" w14:paraId="468686AE" w14:textId="77777777" w:rsidTr="001465A6">
              <w:tc>
                <w:tcPr>
                  <w:tcW w:w="4215" w:type="dxa"/>
                  <w:vMerge/>
                </w:tcPr>
                <w:p w14:paraId="4BB85115" w14:textId="77777777" w:rsidR="0076668C" w:rsidRPr="003C2BCA" w:rsidRDefault="0076668C" w:rsidP="00F366BA">
                  <w:pPr>
                    <w:jc w:val="both"/>
                    <w:rPr>
                      <w:sz w:val="24"/>
                      <w:szCs w:val="24"/>
                    </w:rPr>
                  </w:pPr>
                </w:p>
              </w:tc>
              <w:tc>
                <w:tcPr>
                  <w:tcW w:w="4215" w:type="dxa"/>
                </w:tcPr>
                <w:p w14:paraId="790B6DF7" w14:textId="7035DA7F" w:rsidR="0076668C" w:rsidRPr="003C2BCA" w:rsidRDefault="0076668C" w:rsidP="00F366BA">
                  <w:pPr>
                    <w:jc w:val="both"/>
                    <w:rPr>
                      <w:sz w:val="24"/>
                      <w:szCs w:val="24"/>
                    </w:rPr>
                  </w:pPr>
                  <w:r w:rsidRPr="003C2BCA">
                    <w:rPr>
                      <w:sz w:val="24"/>
                      <w:szCs w:val="24"/>
                    </w:rPr>
                    <w:t>Tel.: 022 250 131</w:t>
                  </w:r>
                </w:p>
              </w:tc>
            </w:tr>
            <w:tr w:rsidR="0076668C" w:rsidRPr="003C2BCA" w14:paraId="2B7904AC" w14:textId="77777777" w:rsidTr="0076668C">
              <w:trPr>
                <w:trHeight w:val="386"/>
              </w:trPr>
              <w:tc>
                <w:tcPr>
                  <w:tcW w:w="4215" w:type="dxa"/>
                  <w:vMerge/>
                </w:tcPr>
                <w:p w14:paraId="39484A92" w14:textId="77777777" w:rsidR="0076668C" w:rsidRPr="003C2BCA" w:rsidRDefault="0076668C" w:rsidP="00F366BA">
                  <w:pPr>
                    <w:jc w:val="both"/>
                    <w:rPr>
                      <w:sz w:val="24"/>
                      <w:szCs w:val="24"/>
                    </w:rPr>
                  </w:pPr>
                </w:p>
              </w:tc>
              <w:tc>
                <w:tcPr>
                  <w:tcW w:w="4215" w:type="dxa"/>
                </w:tcPr>
                <w:p w14:paraId="2561940A" w14:textId="3D49E51D" w:rsidR="0076668C" w:rsidRPr="003C2BCA" w:rsidRDefault="003C2BCA" w:rsidP="00F366BA">
                  <w:pPr>
                    <w:jc w:val="both"/>
                    <w:rPr>
                      <w:sz w:val="24"/>
                      <w:szCs w:val="24"/>
                    </w:rPr>
                  </w:pPr>
                  <w:r w:rsidRPr="003C2BCA">
                    <w:rPr>
                      <w:sz w:val="24"/>
                      <w:szCs w:val="24"/>
                    </w:rPr>
                    <w:t>Email: secretariat@energie.gov.md</w:t>
                  </w:r>
                </w:p>
              </w:tc>
            </w:tr>
          </w:tbl>
          <w:p w14:paraId="0C981AAA" w14:textId="1B404CA6" w:rsidR="00802DDC" w:rsidRPr="003C2BCA" w:rsidRDefault="00802DDC" w:rsidP="00F366BA">
            <w:pPr>
              <w:jc w:val="both"/>
              <w:rPr>
                <w:sz w:val="24"/>
                <w:szCs w:val="24"/>
              </w:rPr>
            </w:pPr>
          </w:p>
          <w:p w14:paraId="4243AD18" w14:textId="77777777" w:rsidR="00802DDC" w:rsidRPr="003C2BCA" w:rsidRDefault="00802DDC" w:rsidP="00F366BA">
            <w:pPr>
              <w:pStyle w:val="Listparagraf"/>
              <w:numPr>
                <w:ilvl w:val="0"/>
                <w:numId w:val="2"/>
              </w:numPr>
              <w:spacing w:after="0"/>
              <w:jc w:val="both"/>
              <w:rPr>
                <w:rFonts w:ascii="Times New Roman" w:hAnsi="Times New Roman"/>
                <w:bCs/>
                <w:sz w:val="24"/>
                <w:szCs w:val="24"/>
                <w:lang w:eastAsia="uk-UA"/>
              </w:rPr>
            </w:pPr>
            <w:r w:rsidRPr="003C2BCA">
              <w:rPr>
                <w:rFonts w:ascii="Times New Roman" w:hAnsi="Times New Roman"/>
                <w:bCs/>
                <w:sz w:val="24"/>
                <w:szCs w:val="24"/>
                <w:u w:val="single"/>
                <w:lang w:eastAsia="uk-UA"/>
              </w:rPr>
              <w:t>numele, prenumele, adresa şi datele de contact ale reprezentantului autorizat de inițiator;</w:t>
            </w:r>
          </w:p>
          <w:tbl>
            <w:tblPr>
              <w:tblStyle w:val="Tabelgril"/>
              <w:tblW w:w="0" w:type="auto"/>
              <w:tblInd w:w="360" w:type="dxa"/>
              <w:tblLook w:val="04A0" w:firstRow="1" w:lastRow="0" w:firstColumn="1" w:lastColumn="0" w:noHBand="0" w:noVBand="1"/>
            </w:tblPr>
            <w:tblGrid>
              <w:gridCol w:w="4215"/>
              <w:gridCol w:w="4215"/>
            </w:tblGrid>
            <w:tr w:rsidR="00BD21F5" w:rsidRPr="003C2BCA" w14:paraId="07663497" w14:textId="77777777" w:rsidTr="004C6A96">
              <w:tc>
                <w:tcPr>
                  <w:tcW w:w="4215" w:type="dxa"/>
                  <w:vMerge w:val="restart"/>
                </w:tcPr>
                <w:p w14:paraId="5AF043C4" w14:textId="7785D257" w:rsidR="00BD21F5" w:rsidRPr="003C2BCA" w:rsidRDefault="00BD21F5" w:rsidP="00F366BA">
                  <w:pPr>
                    <w:jc w:val="both"/>
                    <w:rPr>
                      <w:sz w:val="24"/>
                      <w:szCs w:val="24"/>
                    </w:rPr>
                  </w:pPr>
                  <w:r w:rsidRPr="003C2BCA">
                    <w:rPr>
                      <w:bCs/>
                      <w:sz w:val="24"/>
                      <w:szCs w:val="24"/>
                      <w:lang w:eastAsia="uk-UA"/>
                    </w:rPr>
                    <w:t>Nicolae Magdîl</w:t>
                  </w:r>
                  <w:r w:rsidR="007957E1" w:rsidRPr="003C2BCA">
                    <w:rPr>
                      <w:bCs/>
                      <w:sz w:val="24"/>
                      <w:szCs w:val="24"/>
                      <w:lang w:eastAsia="uk-UA"/>
                    </w:rPr>
                    <w:t>, Șef Direc</w:t>
                  </w:r>
                  <w:r w:rsidR="00433C8C" w:rsidRPr="003C2BCA">
                    <w:rPr>
                      <w:bCs/>
                      <w:sz w:val="24"/>
                      <w:szCs w:val="24"/>
                      <w:lang w:eastAsia="uk-UA"/>
                    </w:rPr>
                    <w:t>ț</w:t>
                  </w:r>
                  <w:r w:rsidR="003C2BCA" w:rsidRPr="003C2BCA">
                    <w:rPr>
                      <w:bCs/>
                      <w:sz w:val="24"/>
                      <w:szCs w:val="24"/>
                      <w:lang w:eastAsia="uk-UA"/>
                    </w:rPr>
                    <w:t>ie surse de energie regenerabilă</w:t>
                  </w:r>
                  <w:r w:rsidR="007957E1" w:rsidRPr="003C2BCA">
                    <w:rPr>
                      <w:bCs/>
                      <w:sz w:val="24"/>
                      <w:szCs w:val="24"/>
                      <w:lang w:eastAsia="uk-UA"/>
                    </w:rPr>
                    <w:t>.</w:t>
                  </w:r>
                </w:p>
              </w:tc>
              <w:tc>
                <w:tcPr>
                  <w:tcW w:w="4215" w:type="dxa"/>
                </w:tcPr>
                <w:p w14:paraId="4E64ADA3" w14:textId="79020E5B" w:rsidR="00BD21F5" w:rsidRPr="003C2BCA" w:rsidRDefault="00BD21F5" w:rsidP="00F366BA">
                  <w:pPr>
                    <w:jc w:val="both"/>
                    <w:rPr>
                      <w:sz w:val="24"/>
                      <w:szCs w:val="24"/>
                      <w:lang w:val="ro-MD"/>
                    </w:rPr>
                  </w:pPr>
                  <w:r w:rsidRPr="003C2BCA">
                    <w:rPr>
                      <w:sz w:val="24"/>
                      <w:szCs w:val="24"/>
                    </w:rPr>
                    <w:t>Adresa: Pia</w:t>
                  </w:r>
                  <w:r w:rsidR="00433C8C" w:rsidRPr="003C2BCA">
                    <w:rPr>
                      <w:sz w:val="24"/>
                      <w:szCs w:val="24"/>
                    </w:rPr>
                    <w:t>ț</w:t>
                  </w:r>
                  <w:r w:rsidRPr="003C2BCA">
                    <w:rPr>
                      <w:sz w:val="24"/>
                      <w:szCs w:val="24"/>
                    </w:rPr>
                    <w:t>a Marii Ad</w:t>
                  </w:r>
                  <w:r w:rsidR="00433C8C" w:rsidRPr="003C2BCA">
                    <w:rPr>
                      <w:sz w:val="24"/>
                      <w:szCs w:val="24"/>
                    </w:rPr>
                    <w:t>u</w:t>
                  </w:r>
                  <w:r w:rsidRPr="003C2BCA">
                    <w:rPr>
                      <w:sz w:val="24"/>
                      <w:szCs w:val="24"/>
                    </w:rPr>
                    <w:t>n</w:t>
                  </w:r>
                  <w:r w:rsidR="00433C8C" w:rsidRPr="003C2BCA">
                    <w:rPr>
                      <w:sz w:val="24"/>
                      <w:szCs w:val="24"/>
                    </w:rPr>
                    <w:t>ă</w:t>
                  </w:r>
                  <w:r w:rsidRPr="003C2BCA">
                    <w:rPr>
                      <w:sz w:val="24"/>
                      <w:szCs w:val="24"/>
                    </w:rPr>
                    <w:t xml:space="preserve">ri Naționale, 1 </w:t>
                  </w:r>
                </w:p>
              </w:tc>
            </w:tr>
            <w:tr w:rsidR="00BD21F5" w:rsidRPr="003C2BCA" w14:paraId="5F6EA381" w14:textId="77777777" w:rsidTr="004C6A96">
              <w:tc>
                <w:tcPr>
                  <w:tcW w:w="4215" w:type="dxa"/>
                  <w:vMerge/>
                </w:tcPr>
                <w:p w14:paraId="76FC2752" w14:textId="77777777" w:rsidR="00BD21F5" w:rsidRPr="003C2BCA" w:rsidRDefault="00BD21F5" w:rsidP="00F366BA">
                  <w:pPr>
                    <w:jc w:val="both"/>
                    <w:rPr>
                      <w:sz w:val="24"/>
                      <w:szCs w:val="24"/>
                    </w:rPr>
                  </w:pPr>
                </w:p>
              </w:tc>
              <w:tc>
                <w:tcPr>
                  <w:tcW w:w="4215" w:type="dxa"/>
                </w:tcPr>
                <w:p w14:paraId="427D63E8" w14:textId="0C303EDA" w:rsidR="00BD21F5" w:rsidRPr="003C2BCA" w:rsidRDefault="00BD21F5" w:rsidP="00F366BA">
                  <w:pPr>
                    <w:jc w:val="both"/>
                    <w:rPr>
                      <w:sz w:val="24"/>
                      <w:szCs w:val="24"/>
                    </w:rPr>
                  </w:pPr>
                  <w:r w:rsidRPr="003C2BCA">
                    <w:rPr>
                      <w:sz w:val="24"/>
                      <w:szCs w:val="24"/>
                    </w:rPr>
                    <w:t xml:space="preserve">Tel.: </w:t>
                  </w:r>
                  <w:r w:rsidR="007957E1" w:rsidRPr="003C2BCA">
                    <w:rPr>
                      <w:sz w:val="24"/>
                      <w:szCs w:val="24"/>
                    </w:rPr>
                    <w:t>069864701</w:t>
                  </w:r>
                </w:p>
              </w:tc>
            </w:tr>
            <w:tr w:rsidR="00BD21F5" w:rsidRPr="003C2BCA" w14:paraId="6D9F8422" w14:textId="77777777" w:rsidTr="004C6A96">
              <w:trPr>
                <w:trHeight w:val="386"/>
              </w:trPr>
              <w:tc>
                <w:tcPr>
                  <w:tcW w:w="4215" w:type="dxa"/>
                  <w:vMerge/>
                </w:tcPr>
                <w:p w14:paraId="32837F1B" w14:textId="77777777" w:rsidR="00BD21F5" w:rsidRPr="003C2BCA" w:rsidRDefault="00BD21F5" w:rsidP="00F366BA">
                  <w:pPr>
                    <w:jc w:val="both"/>
                    <w:rPr>
                      <w:sz w:val="24"/>
                      <w:szCs w:val="24"/>
                    </w:rPr>
                  </w:pPr>
                </w:p>
              </w:tc>
              <w:tc>
                <w:tcPr>
                  <w:tcW w:w="4215" w:type="dxa"/>
                </w:tcPr>
                <w:p w14:paraId="79AFF038" w14:textId="23D1D6F8" w:rsidR="00BD21F5" w:rsidRPr="003C2BCA" w:rsidRDefault="00BD21F5" w:rsidP="00F366BA">
                  <w:pPr>
                    <w:jc w:val="both"/>
                    <w:rPr>
                      <w:sz w:val="24"/>
                      <w:szCs w:val="24"/>
                    </w:rPr>
                  </w:pPr>
                  <w:r w:rsidRPr="003C2BCA">
                    <w:rPr>
                      <w:sz w:val="24"/>
                      <w:szCs w:val="24"/>
                    </w:rPr>
                    <w:t>Email:</w:t>
                  </w:r>
                  <w:r w:rsidR="007957E1" w:rsidRPr="003C2BCA">
                    <w:rPr>
                      <w:sz w:val="24"/>
                      <w:szCs w:val="24"/>
                    </w:rPr>
                    <w:t xml:space="preserve"> </w:t>
                  </w:r>
                  <w:hyperlink r:id="rId6" w:history="1">
                    <w:r w:rsidR="00FD25E0" w:rsidRPr="003C2BCA">
                      <w:rPr>
                        <w:rStyle w:val="Hyperlink"/>
                        <w:sz w:val="24"/>
                        <w:szCs w:val="24"/>
                      </w:rPr>
                      <w:t>nicolae.magdil@energie.gov.md</w:t>
                    </w:r>
                  </w:hyperlink>
                  <w:r w:rsidR="00FD25E0" w:rsidRPr="003C2BCA">
                    <w:rPr>
                      <w:sz w:val="24"/>
                      <w:szCs w:val="24"/>
                    </w:rPr>
                    <w:t xml:space="preserve"> </w:t>
                  </w:r>
                </w:p>
              </w:tc>
            </w:tr>
          </w:tbl>
          <w:p w14:paraId="742264C1" w14:textId="77777777" w:rsidR="00802DDC" w:rsidRPr="003C2BCA" w:rsidRDefault="00802DDC" w:rsidP="00F366BA">
            <w:pPr>
              <w:jc w:val="both"/>
              <w:rPr>
                <w:bCs/>
                <w:sz w:val="24"/>
                <w:szCs w:val="24"/>
                <w:lang w:eastAsia="uk-UA"/>
              </w:rPr>
            </w:pPr>
          </w:p>
          <w:p w14:paraId="66802D48" w14:textId="77777777" w:rsidR="00802DDC" w:rsidRPr="00D21201" w:rsidRDefault="00802DDC" w:rsidP="00F366BA">
            <w:pPr>
              <w:ind w:left="360"/>
              <w:jc w:val="both"/>
              <w:rPr>
                <w:b/>
                <w:sz w:val="24"/>
                <w:szCs w:val="24"/>
              </w:rPr>
            </w:pPr>
            <w:r w:rsidRPr="003C2BCA">
              <w:rPr>
                <w:b/>
                <w:bCs/>
                <w:sz w:val="24"/>
                <w:szCs w:val="24"/>
                <w:lang w:eastAsia="uk-UA"/>
              </w:rPr>
              <w:t>2) informaţii privind planul sau programul</w:t>
            </w:r>
          </w:p>
          <w:p w14:paraId="68E2BE77" w14:textId="77777777" w:rsidR="005C0441" w:rsidRDefault="005C0441" w:rsidP="00F366BA">
            <w:pPr>
              <w:ind w:left="360"/>
              <w:jc w:val="both"/>
              <w:rPr>
                <w:bCs/>
                <w:i/>
                <w:iCs/>
                <w:sz w:val="24"/>
                <w:szCs w:val="24"/>
                <w:u w:val="single"/>
                <w:lang w:eastAsia="uk-UA"/>
              </w:rPr>
            </w:pPr>
          </w:p>
          <w:p w14:paraId="5E561605" w14:textId="67C4183D" w:rsidR="00802DDC" w:rsidRPr="005C0441" w:rsidRDefault="00802DDC" w:rsidP="00F366BA">
            <w:pPr>
              <w:ind w:left="360"/>
              <w:jc w:val="both"/>
              <w:rPr>
                <w:bCs/>
                <w:i/>
                <w:iCs/>
                <w:sz w:val="24"/>
                <w:szCs w:val="24"/>
                <w:u w:val="single"/>
                <w:lang w:eastAsia="uk-UA"/>
              </w:rPr>
            </w:pPr>
            <w:r w:rsidRPr="005C0441">
              <w:rPr>
                <w:bCs/>
                <w:i/>
                <w:iCs/>
                <w:sz w:val="24"/>
                <w:szCs w:val="24"/>
                <w:u w:val="single"/>
                <w:lang w:eastAsia="uk-UA"/>
              </w:rPr>
              <w:t>a) denumirea planului sau programului</w:t>
            </w:r>
          </w:p>
          <w:p w14:paraId="3EED5525" w14:textId="77777777" w:rsidR="00111454" w:rsidRPr="005C0441" w:rsidRDefault="00111454" w:rsidP="00F366BA">
            <w:pPr>
              <w:ind w:right="23"/>
              <w:jc w:val="both"/>
              <w:rPr>
                <w:bCs/>
                <w:i/>
                <w:iCs/>
                <w:sz w:val="24"/>
                <w:szCs w:val="24"/>
                <w:lang w:eastAsia="uk-UA"/>
              </w:rPr>
            </w:pPr>
          </w:p>
          <w:p w14:paraId="3741A54D" w14:textId="0CE2ED32" w:rsidR="00111454" w:rsidRPr="00D21201" w:rsidRDefault="00111454" w:rsidP="00F366BA">
            <w:pPr>
              <w:ind w:left="360" w:right="23"/>
              <w:jc w:val="both"/>
              <w:rPr>
                <w:bCs/>
                <w:sz w:val="24"/>
                <w:szCs w:val="24"/>
                <w:lang w:eastAsia="uk-UA"/>
              </w:rPr>
            </w:pPr>
            <w:r w:rsidRPr="00D21201">
              <w:rPr>
                <w:bCs/>
                <w:sz w:val="24"/>
                <w:szCs w:val="24"/>
                <w:lang w:eastAsia="uk-UA"/>
              </w:rPr>
              <w:t>Planul Național</w:t>
            </w:r>
            <w:r w:rsidR="005C11CC" w:rsidRPr="00D21201">
              <w:rPr>
                <w:bCs/>
                <w:sz w:val="24"/>
                <w:szCs w:val="24"/>
                <w:lang w:eastAsia="uk-UA"/>
              </w:rPr>
              <w:t xml:space="preserve"> </w:t>
            </w:r>
            <w:r w:rsidR="00433C8C" w:rsidRPr="00D21201">
              <w:rPr>
                <w:bCs/>
                <w:sz w:val="24"/>
                <w:szCs w:val="24"/>
                <w:lang w:eastAsia="uk-UA"/>
              </w:rPr>
              <w:t>i</w:t>
            </w:r>
            <w:r w:rsidR="005C11CC" w:rsidRPr="00D21201">
              <w:rPr>
                <w:bCs/>
                <w:sz w:val="24"/>
                <w:szCs w:val="24"/>
                <w:lang w:eastAsia="uk-UA"/>
              </w:rPr>
              <w:t>ntegrat</w:t>
            </w:r>
            <w:r w:rsidRPr="00D21201">
              <w:rPr>
                <w:bCs/>
                <w:sz w:val="24"/>
                <w:szCs w:val="24"/>
                <w:lang w:eastAsia="uk-UA"/>
              </w:rPr>
              <w:t xml:space="preserve"> </w:t>
            </w:r>
            <w:r w:rsidR="003C2BCA">
              <w:rPr>
                <w:bCs/>
                <w:sz w:val="24"/>
                <w:szCs w:val="24"/>
                <w:lang w:eastAsia="uk-UA"/>
              </w:rPr>
              <w:t>privind</w:t>
            </w:r>
            <w:r w:rsidRPr="00D21201">
              <w:rPr>
                <w:bCs/>
                <w:sz w:val="24"/>
                <w:szCs w:val="24"/>
                <w:lang w:eastAsia="uk-UA"/>
              </w:rPr>
              <w:t xml:space="preserve"> Energi</w:t>
            </w:r>
            <w:r w:rsidR="003C2BCA">
              <w:rPr>
                <w:bCs/>
                <w:sz w:val="24"/>
                <w:szCs w:val="24"/>
                <w:lang w:eastAsia="uk-UA"/>
              </w:rPr>
              <w:t>a și Clima</w:t>
            </w:r>
            <w:r w:rsidR="00433C8C" w:rsidRPr="00D21201">
              <w:rPr>
                <w:bCs/>
                <w:sz w:val="24"/>
                <w:szCs w:val="24"/>
                <w:lang w:eastAsia="uk-UA"/>
              </w:rPr>
              <w:t xml:space="preserve"> (PNEC)</w:t>
            </w:r>
          </w:p>
          <w:p w14:paraId="29DC4B83" w14:textId="77777777" w:rsidR="00111454" w:rsidRPr="00D21201" w:rsidRDefault="00111454" w:rsidP="00F366BA">
            <w:pPr>
              <w:ind w:left="360" w:right="23"/>
              <w:jc w:val="both"/>
              <w:rPr>
                <w:bCs/>
                <w:sz w:val="24"/>
                <w:szCs w:val="24"/>
                <w:u w:val="single"/>
                <w:lang w:eastAsia="uk-UA"/>
              </w:rPr>
            </w:pPr>
          </w:p>
          <w:p w14:paraId="003F9B93" w14:textId="1E430946" w:rsidR="00802DDC" w:rsidRPr="005C0441" w:rsidRDefault="00802DDC" w:rsidP="00F366BA">
            <w:pPr>
              <w:ind w:left="360" w:right="23"/>
              <w:jc w:val="both"/>
              <w:rPr>
                <w:bCs/>
                <w:i/>
                <w:iCs/>
                <w:sz w:val="24"/>
                <w:szCs w:val="24"/>
                <w:u w:val="single"/>
                <w:lang w:eastAsia="uk-UA"/>
              </w:rPr>
            </w:pPr>
            <w:r w:rsidRPr="005C0441">
              <w:rPr>
                <w:bCs/>
                <w:i/>
                <w:iCs/>
                <w:sz w:val="24"/>
                <w:szCs w:val="24"/>
                <w:u w:val="single"/>
                <w:lang w:eastAsia="uk-UA"/>
              </w:rPr>
              <w:t>b) fundamentarea necesităţii de elaborare a planului sau programulu</w:t>
            </w:r>
            <w:r w:rsidR="00FC1148" w:rsidRPr="005C0441">
              <w:rPr>
                <w:bCs/>
                <w:i/>
                <w:iCs/>
                <w:sz w:val="24"/>
                <w:szCs w:val="24"/>
                <w:u w:val="single"/>
                <w:lang w:eastAsia="uk-UA"/>
              </w:rPr>
              <w:t>i</w:t>
            </w:r>
          </w:p>
          <w:p w14:paraId="5AE6583F" w14:textId="77777777" w:rsidR="00FC1148" w:rsidRPr="00D21201" w:rsidRDefault="00FC1148" w:rsidP="00F366BA">
            <w:pPr>
              <w:ind w:left="360" w:right="23"/>
              <w:jc w:val="both"/>
              <w:rPr>
                <w:sz w:val="24"/>
                <w:szCs w:val="24"/>
                <w:u w:val="single"/>
              </w:rPr>
            </w:pPr>
          </w:p>
          <w:p w14:paraId="69E15D04" w14:textId="77777777" w:rsidR="006041B1" w:rsidRDefault="001417D5" w:rsidP="00F366BA">
            <w:pPr>
              <w:spacing w:after="120" w:line="276" w:lineRule="auto"/>
              <w:ind w:left="122"/>
              <w:jc w:val="both"/>
              <w:rPr>
                <w:sz w:val="24"/>
                <w:lang w:val="ro-MD"/>
              </w:rPr>
            </w:pPr>
            <w:r w:rsidRPr="0003484C">
              <w:rPr>
                <w:sz w:val="24"/>
                <w:lang w:val="ro-MD"/>
              </w:rPr>
              <w:t xml:space="preserve">În calitatea sa de semnatară a Convenției ONU pentru Schimbările Climatice (CONUSC) și de parte contractantă a Tratatului Comunității Energetice (CEn), Republica Moldova și-a asumat o serie de angajamente în domeniul energie și climă. Combaterea efectelor negative ale schimbărilor climatice prin reducerea emisiilor de gaze cu efect de seră (GES) este un proces complex și multidimensional, a cărui eficiență depinde de convergența între politicile publice și măsurile implementate în sectorul energetic și cel al protecției mediului înconjurător. </w:t>
            </w:r>
          </w:p>
          <w:p w14:paraId="59C1B820" w14:textId="5339F0F6" w:rsidR="00A40596" w:rsidRPr="006041B1" w:rsidRDefault="00685C95" w:rsidP="00F366BA">
            <w:pPr>
              <w:spacing w:after="120" w:line="276" w:lineRule="auto"/>
              <w:ind w:left="122"/>
              <w:jc w:val="both"/>
              <w:rPr>
                <w:sz w:val="24"/>
                <w:lang w:val="ro-MD"/>
              </w:rPr>
            </w:pPr>
            <w:r w:rsidRPr="00685C95">
              <w:rPr>
                <w:sz w:val="24"/>
                <w:szCs w:val="24"/>
              </w:rPr>
              <w:t xml:space="preserve">Sectorul energetic al Republicii Moldova a început să fie reformat odată cu declararea independenței țării, în urmă cu trei decenii. În prezent acest proces este în plină desfășurare. Semnarea Acordului de Asociere între Uniunea Europeană și Republica Moldova a impulsionat în ultimul deceniu transpunerea acquis-ului comunitar în domeniul energie și climă. Astfel, legislația națională a fost modificată și completată prin adoptarea mai multor legi care favorizează liberalizarea pieței energiei și adaptarea ei la standardele europene, promovează energia din surse regenerabile și măsurile de eficiență energetică, impulsionează implementarea măsurilor de dezvoltare cu emisii reduse de GES, introduce mecanisme moderne de echilibrare a sectorului electroenergetic și de asigurare a flexibilității, încurajează implementarea proiectelor de interconectare la sistemul energetic al UE, etc. O serie de rapoarte de monitorizare și evaluare a politicilor publice sectoriale denotă existența unui progres important în aceste direcții în ultimii ani, totodată reformele inițiate necesită a fi aprofundate și extinse într-un ritm susținut. Evenimentele în plan regional și mondial din ultima perioadă au avut consecințe directe asupra sectorului energetic al Republicii Moldova și au accelerat anumite transformări sistemice. Provocările legate de asigurarea securității de aprovizionare cu resurse energetice, creșterea vertiginoasă a prețurilor la gazele naturale și la produsele petroliere și utilizarea considerentelor de tip energetic ca instrument în confruntările </w:t>
            </w:r>
            <w:r w:rsidRPr="00685C95">
              <w:rPr>
                <w:sz w:val="24"/>
                <w:szCs w:val="24"/>
              </w:rPr>
              <w:lastRenderedPageBreak/>
              <w:t>geopolitice poartă un caracter complex și multidimensional. Cooperarea cu partenerii de dezvoltare, și în special cu statele vecine și cu Uniunea Europeană în cadrul Comunității Energetice este un element central al procesului de dotare a țării cu capacitățile și cu instrumentarul juridic și legal necesar pentru modernizarea și eficientizarea sectorului energetic. Într-un context similar, participarea Republicii Moldova în procesele de monitorizare și raportare din cadrul CONUSC contribuie la menținerea unui rol activ al țării în combaterea schimbărilor climatice</w:t>
            </w:r>
            <w:r w:rsidR="00A40596" w:rsidRPr="00D21201">
              <w:rPr>
                <w:sz w:val="24"/>
                <w:szCs w:val="24"/>
              </w:rPr>
              <w:t>.</w:t>
            </w:r>
          </w:p>
          <w:p w14:paraId="77C17D63" w14:textId="452E864C" w:rsidR="00A40596" w:rsidRDefault="009057BE" w:rsidP="00F366BA">
            <w:pPr>
              <w:spacing w:after="120" w:line="276" w:lineRule="auto"/>
              <w:jc w:val="both"/>
              <w:rPr>
                <w:sz w:val="24"/>
                <w:szCs w:val="24"/>
              </w:rPr>
            </w:pPr>
            <w:r>
              <w:rPr>
                <w:sz w:val="24"/>
                <w:szCs w:val="24"/>
              </w:rPr>
              <w:t>Planul Na</w:t>
            </w:r>
            <w:r w:rsidR="003C2BCA">
              <w:rPr>
                <w:sz w:val="24"/>
                <w:szCs w:val="24"/>
                <w:lang w:val="ro-MD"/>
              </w:rPr>
              <w:t xml:space="preserve">țional integrat privind </w:t>
            </w:r>
            <w:r>
              <w:rPr>
                <w:sz w:val="24"/>
                <w:szCs w:val="24"/>
                <w:lang w:val="ro-MD"/>
              </w:rPr>
              <w:t>Energi</w:t>
            </w:r>
            <w:r w:rsidR="003C2BCA">
              <w:rPr>
                <w:sz w:val="24"/>
                <w:szCs w:val="24"/>
                <w:lang w:val="ro-MD"/>
              </w:rPr>
              <w:t>a și Clima</w:t>
            </w:r>
            <w:r w:rsidR="00672A69">
              <w:rPr>
                <w:sz w:val="24"/>
                <w:szCs w:val="24"/>
                <w:lang w:val="ro-MD"/>
              </w:rPr>
              <w:t xml:space="preserve"> (PNEC) c</w:t>
            </w:r>
            <w:r w:rsidR="00A40596" w:rsidRPr="00D21201">
              <w:rPr>
                <w:sz w:val="24"/>
                <w:szCs w:val="24"/>
              </w:rPr>
              <w:t>onstituie o Foaie de parcurs pentru modernizarea cadrului de politici publice în domeniul energie și climă, pregătirea terenului pentru implementarea măsurilor prezentate și atragerea investițiilor în sectorul energetic și în protecția mediului înconjurător. În urma realizării PNEC Republica Moldova își va consolida securitatea energetică, vă liberaliza și moderniza piața de energie, va dezvolta și generaliza utilizarea surselor de energie regenerabilă, va spori gradul de implementare a măsurilor de eficiență energetică, va dezvolta cercetarea, inovația și competitivitatea în domeniul energie și climă și va contribui la efortul global de reducere a emisiilor de gaze cu efect de seră.</w:t>
            </w:r>
          </w:p>
          <w:p w14:paraId="23FA2A5C" w14:textId="77777777" w:rsidR="00366546" w:rsidRDefault="000D2543" w:rsidP="00F366BA">
            <w:pPr>
              <w:spacing w:after="120" w:line="276" w:lineRule="auto"/>
              <w:jc w:val="both"/>
              <w:rPr>
                <w:sz w:val="24"/>
                <w:szCs w:val="24"/>
              </w:rPr>
            </w:pPr>
            <w:r w:rsidRPr="0003484C">
              <w:rPr>
                <w:sz w:val="24"/>
                <w:lang w:val="ro-MD"/>
              </w:rPr>
              <w:t>Comunicarea Comisiei Europene cu privire la Starea Uniunii Energetice, adoptată în anul 2015, stabilește că Planurile Naționale integrate privind Energia și Clima, elaborate de către statele membre ale Uniunii Europene, constituie instrumente fundamentale pentru implementarea Strategiei Uniunii Energetice și contribuie la dezvoltarea unui cadru strategic de politici publice în domeniile energiei și climei. Această decizie a impulsionat elaborarea și adoptarea de către statele membre ale UE a PNEC pentru perioada 2021 – 2030. Planurile Naționale stabilesc țintele și detaliază contribuțiile naționale la realizarea obiectivelor UE privind schimbările climatice și în domeniul energiei</w:t>
            </w:r>
            <w:r w:rsidR="00A40596" w:rsidRPr="00D21201">
              <w:rPr>
                <w:sz w:val="24"/>
                <w:szCs w:val="24"/>
              </w:rPr>
              <w:t xml:space="preserve">. </w:t>
            </w:r>
          </w:p>
          <w:p w14:paraId="633374A7" w14:textId="77777777" w:rsidR="003522C0" w:rsidRDefault="00366546" w:rsidP="00F366BA">
            <w:pPr>
              <w:spacing w:after="120" w:line="276" w:lineRule="auto"/>
              <w:jc w:val="both"/>
              <w:rPr>
                <w:sz w:val="24"/>
                <w:szCs w:val="24"/>
              </w:rPr>
            </w:pPr>
            <w:r w:rsidRPr="0003484C">
              <w:rPr>
                <w:sz w:val="24"/>
                <w:lang w:val="ro-MD"/>
              </w:rPr>
              <w:t>În anul 2018, Consiliul Ministerial al Comunității Energetice a adoptat Recomandarea 2018/01/EnC-MC prin care este stabilit că elaborarea și adoptarea PNEC de către părțile contractante la CEn va susține atingerea obiectivelor de politici publice pe termen lung în domeniul energiei și climei, va reduce povara administrativă, va favoriza transparența și va promova siguranța investițională la nivel regional. Regulamentul (UE) nr. 2018/1999 privind Guvernanța Uniunii Energetice și a acțiunilor climatice, adaptat prin Decizia 2021/14/EnC-MC a Consiliului Ministerial al Comunității Energetice, a fixat un set de reguli comune privind planificarea, raportarea și monitorizarea de către părțile contractante a politicilor și a țintelor din domeniile energie și climă. Regulamentul include un set de recomandări cu privire la conținutul, structura, modalitatea de elaborare și aprobare de către părțile contractante a Planurilor Naționale integrate privind Energia și Clima. În prezent Regulamentul (UE) nr. 2018/1999 se află în proces de transpunere în legislația națională.</w:t>
            </w:r>
          </w:p>
          <w:p w14:paraId="2A22F1D8" w14:textId="77777777" w:rsidR="00667E7C" w:rsidRDefault="00366546" w:rsidP="00F366BA">
            <w:pPr>
              <w:spacing w:after="120" w:line="276" w:lineRule="auto"/>
              <w:jc w:val="both"/>
              <w:rPr>
                <w:sz w:val="24"/>
                <w:szCs w:val="24"/>
              </w:rPr>
            </w:pPr>
            <w:r w:rsidRPr="0003484C">
              <w:rPr>
                <w:sz w:val="24"/>
                <w:lang w:val="ro-MD"/>
              </w:rPr>
              <w:t>La data de 23 iunie 2022 Consiliul European a acordat Republicii Moldova statutul de stat candidat în procesul de aderare la Uniunea Europeană. Această etapă importantă a parcursului de integrare europeană a țării noastre sporește motivația factorilor de decizie de nivel național de a implementa măsurile necesare pentru a atinge țintele fixate în domeniile energie și climă în termeni cât mai restrânși. Procesul de negociere pentru aderarea Republicii Moldova la UE va impulsiona punerea în aplicare cât mai rapidă a măsurilor respective.</w:t>
            </w:r>
          </w:p>
          <w:p w14:paraId="14377EA0" w14:textId="5C93B8BC" w:rsidR="00BF1BBE" w:rsidRPr="00667E7C" w:rsidRDefault="00366546" w:rsidP="00F366BA">
            <w:pPr>
              <w:spacing w:after="120" w:line="276" w:lineRule="auto"/>
              <w:jc w:val="both"/>
              <w:rPr>
                <w:sz w:val="24"/>
                <w:szCs w:val="24"/>
              </w:rPr>
            </w:pPr>
            <w:r w:rsidRPr="00667E7C">
              <w:rPr>
                <w:sz w:val="24"/>
                <w:szCs w:val="24"/>
                <w:lang w:val="ro-MD"/>
              </w:rPr>
              <w:t xml:space="preserve">În decembrie 2022 Consiliul Ministerial al Comunității Energetice a adoptat un amendament la Regulamentul (UE) nr. 2018/1999 privind Guvernanța Uniunii Energetice prin care au fost </w:t>
            </w:r>
            <w:r w:rsidRPr="00667E7C">
              <w:rPr>
                <w:sz w:val="24"/>
                <w:szCs w:val="24"/>
                <w:lang w:val="ro-MD"/>
              </w:rPr>
              <w:lastRenderedPageBreak/>
              <w:t>introduse țintele pentru anul 2030 pentru fiecare parte contractantă, inclusiv pentru Republica Moldova. Astfel, ponderea energiei din surse regenerabile în consumul final de energie trebuie să fie de minim 27% în anul 2030. Creșterea consumului total de energie primară va fi de cel mult 3000 de ktep în anul 2030, iar a consumului total final de energie de cel mult 2800 de ktep în anul 2030. Totodată, este preconizată o reducere a emisiilor nete de gaze cu efect de seră (GES) cu 68,6% în anul 2030 față de nivelul anului de referință 1990, la nivelul de 9,10 Mt de CO2 echivalent (inclusiv sectorul Folosința terenurilor, schimbarea categoriei de folosință a terenurilor și silvicultură – FTSCFTS)</w:t>
            </w:r>
            <w:r w:rsidR="00BF1BBE" w:rsidRPr="00667E7C">
              <w:rPr>
                <w:color w:val="000000"/>
                <w:sz w:val="24"/>
                <w:szCs w:val="24"/>
                <w:shd w:val="clear" w:color="auto" w:fill="FFFFFF"/>
              </w:rPr>
              <w:t>.</w:t>
            </w:r>
            <w:r w:rsidR="00BF1BBE" w:rsidRPr="00667E7C">
              <w:rPr>
                <w:sz w:val="24"/>
                <w:szCs w:val="24"/>
              </w:rPr>
              <w:t xml:space="preserve"> </w:t>
            </w:r>
          </w:p>
          <w:p w14:paraId="59653563" w14:textId="77777777" w:rsidR="00A94C7A" w:rsidRPr="00D21201" w:rsidRDefault="00A94C7A" w:rsidP="00F366BA">
            <w:pPr>
              <w:spacing w:after="120" w:line="276" w:lineRule="auto"/>
              <w:jc w:val="both"/>
              <w:rPr>
                <w:b/>
                <w:color w:val="000000"/>
                <w:sz w:val="24"/>
                <w:szCs w:val="24"/>
                <w:lang w:eastAsia="fr-FR"/>
              </w:rPr>
            </w:pPr>
            <w:r w:rsidRPr="00D21201">
              <w:rPr>
                <w:b/>
                <w:color w:val="000000"/>
                <w:sz w:val="24"/>
                <w:szCs w:val="24"/>
                <w:lang w:eastAsia="fr-FR"/>
              </w:rPr>
              <w:t>Principalele părți componente ale Planului Național integrat privind Energia și Climă</w:t>
            </w:r>
          </w:p>
          <w:p w14:paraId="1ABE03B0" w14:textId="7262617C" w:rsidR="00A94C7A" w:rsidRPr="00D21201" w:rsidRDefault="000075A5" w:rsidP="00F366BA">
            <w:pPr>
              <w:spacing w:after="120" w:line="276" w:lineRule="auto"/>
              <w:jc w:val="both"/>
              <w:rPr>
                <w:color w:val="000000"/>
                <w:sz w:val="24"/>
                <w:szCs w:val="24"/>
                <w:lang w:eastAsia="fr-FR"/>
              </w:rPr>
            </w:pPr>
            <w:r w:rsidRPr="0003484C">
              <w:rPr>
                <w:sz w:val="24"/>
                <w:szCs w:val="24"/>
                <w:lang w:eastAsia="fr-FR"/>
              </w:rPr>
              <w:t>Partea introductivă a PNEC este formată dintr-o prezentare generală a sectorului energetic în Republica Moldova. Aceasta include o listă a principalelor documente de politici publice aplicabile în domeniu, o descriere a structurii și rolurilor principalilor actori participanți în piețele energiei electrice și a gazelor naturale, și o trecere în revistă a principiilor de bază aplicabile pentru asigurarea securității energetice a țării</w:t>
            </w:r>
            <w:r w:rsidR="00A94C7A" w:rsidRPr="00D21201">
              <w:rPr>
                <w:color w:val="000000"/>
                <w:sz w:val="24"/>
                <w:szCs w:val="24"/>
                <w:lang w:eastAsia="fr-FR"/>
              </w:rPr>
              <w:t>.</w:t>
            </w:r>
          </w:p>
          <w:p w14:paraId="41EF6CC5" w14:textId="77777777" w:rsidR="00062941" w:rsidRDefault="00E226EA" w:rsidP="00F366BA">
            <w:pPr>
              <w:spacing w:after="120" w:line="276" w:lineRule="auto"/>
              <w:jc w:val="both"/>
              <w:rPr>
                <w:color w:val="000000"/>
                <w:sz w:val="24"/>
                <w:szCs w:val="24"/>
                <w:lang w:eastAsia="fr-FR"/>
              </w:rPr>
            </w:pPr>
            <w:r w:rsidRPr="0003484C">
              <w:rPr>
                <w:sz w:val="24"/>
                <w:szCs w:val="24"/>
                <w:lang w:eastAsia="fr-FR"/>
              </w:rPr>
              <w:t>Abordarea unitară a domeniilor energie și climă reprezintă o caracteristică esențială a documentului, aceasta decurge din abordarea integrată a celor 5 dimensiuni ale Uniunii Energetice și asigură consistența sa cu obiectivele pe termen lung ale cadrului de politici publice în contextul angajamentelor asumate față de Uniunea Europeană, Comunitatea Energetică și CONUSC</w:t>
            </w:r>
            <w:r w:rsidR="00A94C7A" w:rsidRPr="00D21201">
              <w:rPr>
                <w:color w:val="000000"/>
                <w:sz w:val="24"/>
                <w:szCs w:val="24"/>
                <w:lang w:eastAsia="fr-FR"/>
              </w:rPr>
              <w:t>.</w:t>
            </w:r>
          </w:p>
          <w:p w14:paraId="06A03FEC" w14:textId="494B00F2" w:rsidR="00A94C7A" w:rsidRPr="00062941" w:rsidRDefault="00A019D3" w:rsidP="00F366BA">
            <w:pPr>
              <w:spacing w:after="120" w:line="276" w:lineRule="auto"/>
              <w:jc w:val="both"/>
              <w:rPr>
                <w:sz w:val="24"/>
                <w:szCs w:val="24"/>
                <w:lang w:eastAsia="fr-FR"/>
              </w:rPr>
            </w:pPr>
            <w:r w:rsidRPr="0003484C">
              <w:rPr>
                <w:sz w:val="24"/>
                <w:szCs w:val="24"/>
                <w:lang w:eastAsia="fr-FR"/>
              </w:rPr>
              <w:t xml:space="preserve">PNEC se bazează pe descrierea, modelizarea și analiza a două scenarii: în baza  politicilor și măsurilor sau grupurilor de măsuri </w:t>
            </w:r>
            <w:r w:rsidRPr="0003484C">
              <w:rPr>
                <w:b/>
                <w:sz w:val="24"/>
                <w:szCs w:val="24"/>
                <w:lang w:eastAsia="fr-FR"/>
              </w:rPr>
              <w:t>existente</w:t>
            </w:r>
            <w:r w:rsidRPr="0003484C">
              <w:rPr>
                <w:sz w:val="24"/>
                <w:szCs w:val="24"/>
                <w:lang w:eastAsia="fr-FR"/>
              </w:rPr>
              <w:t xml:space="preserve">, și în baza politicilor și măsurilor sau grupurilor de măsuri </w:t>
            </w:r>
            <w:r w:rsidRPr="0003484C">
              <w:rPr>
                <w:b/>
                <w:sz w:val="24"/>
                <w:szCs w:val="24"/>
                <w:lang w:eastAsia="fr-FR"/>
              </w:rPr>
              <w:t>planificate</w:t>
            </w:r>
            <w:r w:rsidRPr="0003484C">
              <w:rPr>
                <w:sz w:val="24"/>
                <w:szCs w:val="24"/>
                <w:lang w:eastAsia="fr-FR"/>
              </w:rPr>
              <w:t xml:space="preserve">. Din această perspectivă, realizarea obiectivelor și atingerea țintelor fixate de CEn și asumate de Republica Moldova în baza tratatelor internaționale va fi realizată prin implementarea scenariului cu măsuri planificate, scenariul cu măsuri existente servind în calitate de cadru de referință de tip </w:t>
            </w:r>
            <w:r w:rsidRPr="0003484C">
              <w:rPr>
                <w:i/>
                <w:sz w:val="24"/>
                <w:szCs w:val="24"/>
                <w:lang w:eastAsia="fr-FR"/>
              </w:rPr>
              <w:t>business as usual</w:t>
            </w:r>
            <w:r>
              <w:rPr>
                <w:i/>
                <w:sz w:val="24"/>
                <w:szCs w:val="24"/>
                <w:lang w:eastAsia="fr-FR"/>
              </w:rPr>
              <w:t xml:space="preserve">. </w:t>
            </w:r>
            <w:r w:rsidR="00A94C7A" w:rsidRPr="00D21201">
              <w:rPr>
                <w:color w:val="000000"/>
                <w:sz w:val="24"/>
                <w:szCs w:val="24"/>
                <w:lang w:eastAsia="fr-FR"/>
              </w:rPr>
              <w:t xml:space="preserve"> </w:t>
            </w:r>
          </w:p>
          <w:p w14:paraId="4CC0F110" w14:textId="77777777" w:rsidR="00A94C7A" w:rsidRPr="00D21201" w:rsidRDefault="00A94C7A" w:rsidP="00F366BA">
            <w:pPr>
              <w:spacing w:after="120" w:line="276" w:lineRule="auto"/>
              <w:jc w:val="both"/>
              <w:rPr>
                <w:b/>
                <w:color w:val="000000"/>
                <w:sz w:val="24"/>
                <w:szCs w:val="24"/>
                <w:lang w:eastAsia="fr-FR"/>
              </w:rPr>
            </w:pPr>
            <w:r w:rsidRPr="00D21201">
              <w:rPr>
                <w:b/>
                <w:color w:val="000000"/>
                <w:sz w:val="24"/>
                <w:szCs w:val="24"/>
                <w:lang w:eastAsia="fr-FR"/>
              </w:rPr>
              <w:t>Dimensiunea Securitate energetică</w:t>
            </w:r>
          </w:p>
          <w:p w14:paraId="71403380" w14:textId="77777777" w:rsidR="00FA4E2D" w:rsidRPr="0003484C" w:rsidRDefault="00FA4E2D" w:rsidP="00F366BA">
            <w:pPr>
              <w:spacing w:after="120" w:line="276" w:lineRule="auto"/>
              <w:jc w:val="both"/>
              <w:rPr>
                <w:sz w:val="24"/>
                <w:szCs w:val="24"/>
                <w:lang w:eastAsia="fr-FR"/>
              </w:rPr>
            </w:pPr>
            <w:r w:rsidRPr="0003484C">
              <w:rPr>
                <w:sz w:val="24"/>
                <w:szCs w:val="24"/>
                <w:lang w:eastAsia="fr-FR"/>
              </w:rPr>
              <w:t>În condițiile unui grad foarte înalt de dependență a Republicii Moldova față de resursele energetice importate, măsurile ce se referă la asigurarea securității energetice a țării vizează în principal diversificarea furnizorilor de pe piețele externe de energie, încurajarea utilizării resurselor energetice disponibile în țară (biomasă, surse de energie regenerabilă de tip fotovoltaic și eolian) și securizarea și diversificarea căilor de import a resurselor energetice.</w:t>
            </w:r>
          </w:p>
          <w:p w14:paraId="4704A0B9" w14:textId="77777777" w:rsidR="00FA4E2D" w:rsidRPr="0003484C" w:rsidRDefault="00FA4E2D" w:rsidP="00F366BA">
            <w:pPr>
              <w:spacing w:after="120" w:line="276" w:lineRule="auto"/>
              <w:jc w:val="both"/>
              <w:rPr>
                <w:sz w:val="24"/>
                <w:szCs w:val="24"/>
                <w:lang w:eastAsia="fr-FR"/>
              </w:rPr>
            </w:pPr>
            <w:r w:rsidRPr="0003484C">
              <w:rPr>
                <w:sz w:val="24"/>
                <w:szCs w:val="24"/>
                <w:lang w:eastAsia="fr-FR"/>
              </w:rPr>
              <w:t xml:space="preserve">Măsurile propuse spre implementare în sectorul energiei electrice se referă la sporirea gradului de interconectare cu țările membre ale Uniunii Europene prin construcția unor linii magistrale de transport a energiei electrice din România și prin finalizarea procesului de sincronizare a sistemului electroenergetic național cu ENTSO-E, după o primă fază a unei sincronizări în regim de urgență ce a avut loc în martie 2022. În prezent este în proces de derulare construcția unei linii magistrale de 400 de kV cu lungimea de 158 de km pe porțiunea Vulcănești – Chișinău. Un alt proiect de anvergură ce va fi implementat în următorii ani se referă la construcția unei linii magistrale de 400 de kV pe segmentul Bălți – Suceava. Construcția acestor două linii de tensiune înaltă va fi finanțată în cadrul Proiectului „Interconectarea rețelelor de energie electrică a Republicii Moldova cu România, Faza 1”, care dispune de un buget total de 260 de milioane de </w:t>
            </w:r>
            <w:r w:rsidRPr="0003484C">
              <w:rPr>
                <w:sz w:val="24"/>
                <w:szCs w:val="24"/>
                <w:lang w:eastAsia="fr-FR"/>
              </w:rPr>
              <w:lastRenderedPageBreak/>
              <w:t>euro. Potențialul altor interconectări cu România (de ex: linia magistrală de 400 de kV Smârdan – Vulcănești) va fi studiat în cadrul aceluiași Proiect.</w:t>
            </w:r>
          </w:p>
          <w:p w14:paraId="1796B05A" w14:textId="77777777" w:rsidR="00FA4E2D" w:rsidRPr="0003484C" w:rsidRDefault="00FA4E2D" w:rsidP="00F366BA">
            <w:pPr>
              <w:spacing w:after="120" w:line="276" w:lineRule="auto"/>
              <w:jc w:val="both"/>
              <w:rPr>
                <w:sz w:val="24"/>
                <w:szCs w:val="24"/>
                <w:lang w:eastAsia="fr-FR"/>
              </w:rPr>
            </w:pPr>
            <w:r w:rsidRPr="0003484C">
              <w:rPr>
                <w:sz w:val="24"/>
                <w:szCs w:val="24"/>
                <w:lang w:eastAsia="fr-FR"/>
              </w:rPr>
              <w:t>În sectorul gazelor naturale măsurile propuse spre implementare pe dimensiunea securității energetice se referă în primul rând la constituirea unei rezerve de gaze naturale (minim 15% din consumul anual de gaze naturale, sau 160 de milioane de metri cubi) și la existența unui acces permanent la această rezervă pentru a asigura în mod neîntrerupt necesitățile consumatorilor.</w:t>
            </w:r>
          </w:p>
          <w:p w14:paraId="0AF829B1" w14:textId="77777777" w:rsidR="00FA4E2D" w:rsidRPr="0003484C" w:rsidRDefault="00FA4E2D" w:rsidP="00F366BA">
            <w:pPr>
              <w:spacing w:after="120" w:line="276" w:lineRule="auto"/>
              <w:jc w:val="both"/>
              <w:rPr>
                <w:sz w:val="24"/>
                <w:szCs w:val="24"/>
                <w:lang w:eastAsia="fr-FR"/>
              </w:rPr>
            </w:pPr>
            <w:r w:rsidRPr="0003484C">
              <w:rPr>
                <w:sz w:val="24"/>
                <w:szCs w:val="24"/>
                <w:lang w:eastAsia="fr-FR"/>
              </w:rPr>
              <w:t>Ca urmare a implementării măsurilor prevăzute în PNEC, pierderile de gaze naturale în rețelele de transport și de distribuție se vor diminua de la aproximativ 7% în anul 2022 la aproximativ 3,7% în anul 2030 în scenariul cu măsuri existente, și la aproximativ 3,1% în anul 2030 în scenariul cu măsuri planificate în domeniul energiei din surse regenerabile în sectorul producerii electricității.</w:t>
            </w:r>
          </w:p>
          <w:p w14:paraId="6D64193B" w14:textId="77777777" w:rsidR="00FA4E2D" w:rsidRPr="0003484C" w:rsidRDefault="00FA4E2D" w:rsidP="00F366BA">
            <w:pPr>
              <w:spacing w:after="120" w:line="276" w:lineRule="auto"/>
              <w:jc w:val="both"/>
              <w:rPr>
                <w:sz w:val="24"/>
                <w:szCs w:val="24"/>
                <w:lang w:eastAsia="fr-FR"/>
              </w:rPr>
            </w:pPr>
            <w:r w:rsidRPr="0003484C">
              <w:rPr>
                <w:sz w:val="24"/>
                <w:szCs w:val="24"/>
                <w:lang w:eastAsia="fr-FR"/>
              </w:rPr>
              <w:t>Consumul final de energie este planificat să crească de la aproximativ 25</w:t>
            </w:r>
            <w:r>
              <w:rPr>
                <w:sz w:val="24"/>
                <w:szCs w:val="24"/>
                <w:lang w:eastAsia="fr-FR"/>
              </w:rPr>
              <w:t>53</w:t>
            </w:r>
            <w:r w:rsidRPr="0003484C">
              <w:rPr>
                <w:sz w:val="24"/>
                <w:szCs w:val="24"/>
                <w:lang w:eastAsia="fr-FR"/>
              </w:rPr>
              <w:t xml:space="preserve"> ktep în anul 2020 la aprox. </w:t>
            </w:r>
            <w:r>
              <w:rPr>
                <w:sz w:val="24"/>
                <w:szCs w:val="24"/>
                <w:lang w:eastAsia="fr-FR"/>
              </w:rPr>
              <w:t>2722</w:t>
            </w:r>
            <w:r w:rsidRPr="0003484C">
              <w:rPr>
                <w:sz w:val="24"/>
                <w:szCs w:val="24"/>
                <w:lang w:eastAsia="fr-FR"/>
              </w:rPr>
              <w:t xml:space="preserve"> ktep în anul 2030 în scenariul cu măsuri existente, și la aprox. 25</w:t>
            </w:r>
            <w:r>
              <w:rPr>
                <w:sz w:val="24"/>
                <w:szCs w:val="24"/>
                <w:lang w:eastAsia="fr-FR"/>
              </w:rPr>
              <w:t>75</w:t>
            </w:r>
            <w:r w:rsidRPr="0003484C">
              <w:rPr>
                <w:sz w:val="24"/>
                <w:szCs w:val="24"/>
                <w:lang w:eastAsia="fr-FR"/>
              </w:rPr>
              <w:t xml:space="preserve"> ktep în anul 2030 în scenariul cu măsuri planificate. Aprovizionarea cu energie primară va crește de la aprox. 2866 ktep în anul 2020 la aprox. 29</w:t>
            </w:r>
            <w:r>
              <w:rPr>
                <w:sz w:val="24"/>
                <w:szCs w:val="24"/>
                <w:lang w:eastAsia="fr-FR"/>
              </w:rPr>
              <w:t>98</w:t>
            </w:r>
            <w:r w:rsidRPr="0003484C">
              <w:rPr>
                <w:sz w:val="24"/>
                <w:szCs w:val="24"/>
                <w:lang w:eastAsia="fr-FR"/>
              </w:rPr>
              <w:t xml:space="preserve"> ktep, și, respectiv, la aprox. 28</w:t>
            </w:r>
            <w:r>
              <w:rPr>
                <w:sz w:val="24"/>
                <w:szCs w:val="24"/>
                <w:lang w:eastAsia="fr-FR"/>
              </w:rPr>
              <w:t>20</w:t>
            </w:r>
            <w:r w:rsidRPr="0003484C">
              <w:rPr>
                <w:sz w:val="24"/>
                <w:szCs w:val="24"/>
                <w:lang w:eastAsia="fr-FR"/>
              </w:rPr>
              <w:t xml:space="preserve"> ktep în anul 2030, conform celor două scenarii menționate mai sus.</w:t>
            </w:r>
          </w:p>
          <w:p w14:paraId="27BD3B09" w14:textId="3428D389" w:rsidR="00A94C7A" w:rsidRPr="00D21201" w:rsidRDefault="00FA4E2D" w:rsidP="00F366BA">
            <w:pPr>
              <w:spacing w:after="120" w:line="276" w:lineRule="auto"/>
              <w:jc w:val="both"/>
              <w:rPr>
                <w:sz w:val="24"/>
                <w:szCs w:val="24"/>
              </w:rPr>
            </w:pPr>
            <w:r w:rsidRPr="0003484C">
              <w:rPr>
                <w:sz w:val="24"/>
                <w:szCs w:val="24"/>
                <w:lang w:eastAsia="fr-FR"/>
              </w:rPr>
              <w:t>Cadrul de politici publice pe dimensiunea securității energetice se bazează în prezent pe Strategia Energetică 2050 (versiunea de proiect), Planul pe 10 ani de dezvoltare a sistemelor de transport a energiei electrice, Planul pe 10 ani de dezvoltare a Moldovagaz și alte documente relevante</w:t>
            </w:r>
            <w:r w:rsidR="00A94C7A" w:rsidRPr="00D21201">
              <w:rPr>
                <w:sz w:val="24"/>
                <w:szCs w:val="24"/>
              </w:rPr>
              <w:t>.</w:t>
            </w:r>
          </w:p>
          <w:p w14:paraId="218E8124" w14:textId="77777777" w:rsidR="00A94C7A" w:rsidRPr="00D21201" w:rsidRDefault="00A94C7A" w:rsidP="00F366BA">
            <w:pPr>
              <w:spacing w:after="120" w:line="276" w:lineRule="auto"/>
              <w:jc w:val="both"/>
              <w:rPr>
                <w:b/>
                <w:color w:val="000000"/>
                <w:sz w:val="24"/>
                <w:szCs w:val="24"/>
                <w:lang w:eastAsia="fr-FR"/>
              </w:rPr>
            </w:pPr>
            <w:r w:rsidRPr="00D21201">
              <w:rPr>
                <w:b/>
                <w:color w:val="000000"/>
                <w:sz w:val="24"/>
                <w:szCs w:val="24"/>
                <w:lang w:eastAsia="fr-FR"/>
              </w:rPr>
              <w:t>Dimensiunea Piață internă a energiei</w:t>
            </w:r>
          </w:p>
          <w:p w14:paraId="0AC28CFA" w14:textId="77777777" w:rsidR="00A248C7" w:rsidRPr="0003484C" w:rsidRDefault="00A248C7" w:rsidP="00F366BA">
            <w:pPr>
              <w:spacing w:after="120" w:line="276" w:lineRule="auto"/>
              <w:jc w:val="both"/>
              <w:rPr>
                <w:sz w:val="24"/>
                <w:szCs w:val="24"/>
                <w:lang w:eastAsia="fr-FR"/>
              </w:rPr>
            </w:pPr>
            <w:r w:rsidRPr="0003484C">
              <w:rPr>
                <w:sz w:val="24"/>
                <w:szCs w:val="24"/>
                <w:lang w:eastAsia="fr-FR"/>
              </w:rPr>
              <w:t>Strategia Energetică a Republicii Moldova fixează integrarea pieței de energie a țării în piața de energie a Uniunii Europene prin îndeplinirea obligațiilor asumate în cadrul Comunității Energetice în calitate de obiectiv strategic al parcursului de integrare europeană. Uniunea Europeană oferă sprijin financiar țării noastre pentru transpunerea legislației europene în sectorul energetic și urmărește obiectivul final de integrare în piața de energie a UE. Prin reformele aflate în curs de implementare se urmărește scopul de deschidere, modernizare și liberalizare a pieței interne a energiei, pentru ca aceasta să fie adaptata cerințelor europene cu privire la exportul și importul de energie, integrarea ei în piața de energie a UE, introducerea unor mecanisme de piață noi, ș.a.</w:t>
            </w:r>
          </w:p>
          <w:p w14:paraId="64A6FFED" w14:textId="77777777" w:rsidR="00A248C7" w:rsidRPr="0003484C" w:rsidRDefault="00A248C7" w:rsidP="00F366BA">
            <w:pPr>
              <w:spacing w:after="120" w:line="276" w:lineRule="auto"/>
              <w:jc w:val="both"/>
              <w:rPr>
                <w:sz w:val="24"/>
                <w:szCs w:val="24"/>
                <w:lang w:eastAsia="fr-FR"/>
              </w:rPr>
            </w:pPr>
            <w:r w:rsidRPr="0003484C">
              <w:rPr>
                <w:sz w:val="24"/>
                <w:szCs w:val="24"/>
                <w:lang w:eastAsia="fr-FR"/>
              </w:rPr>
              <w:t>Prin adoptarea Legii nr. 107/2016 cu privire la energia electrică, a Legii nr. 108/2016 cu privire la gazele naturale și a Legii nr. 174/2017 cu privire la energetică Republica Moldova a transpus în legislația națională o parte importantă a prevederilor incluse în Pachetul Energetic III al Uniunii Europene, inclusiv capitolele referitoare la liberalizarea pieței energiei.</w:t>
            </w:r>
          </w:p>
          <w:p w14:paraId="75B50E45" w14:textId="77777777" w:rsidR="00A248C7" w:rsidRPr="0003484C" w:rsidRDefault="00A248C7" w:rsidP="00F366BA">
            <w:pPr>
              <w:spacing w:after="120" w:line="276" w:lineRule="auto"/>
              <w:jc w:val="both"/>
              <w:rPr>
                <w:sz w:val="24"/>
                <w:szCs w:val="24"/>
                <w:lang w:eastAsia="fr-FR"/>
              </w:rPr>
            </w:pPr>
            <w:r w:rsidRPr="0003484C">
              <w:rPr>
                <w:sz w:val="24"/>
                <w:szCs w:val="24"/>
                <w:lang w:eastAsia="fr-FR"/>
              </w:rPr>
              <w:t xml:space="preserve">Astfel, Legea cu privire la energia electrică stabilește un cadru legal pentru organizarea, reglementarea, operarea și monitorizarea pieței de energie electrică. Principiile care stau la baza funcționarii pieței respective, stabilite în condițiile acestei Legi, se referă la: furnizarea energiei electrice către consumatori în condiții de accesibilitate, disponibilitate, fiabilitate, continuitate, calitate și transparență; asigurarea unui acces reglementat și non-discriminatoriu la piața energiei electrice; promovarea generării energiei electrice; asigurarea unui echilibru între cerere și ofertă și a unui nivel suficient de capacități de interconectare pentru a facilita transportul transfrontalier de energie electrică; dezvoltarea pieței energiei electrice în scopul integrării sale </w:t>
            </w:r>
            <w:r w:rsidRPr="0003484C">
              <w:rPr>
                <w:sz w:val="24"/>
                <w:szCs w:val="24"/>
                <w:lang w:eastAsia="fr-FR"/>
              </w:rPr>
              <w:lastRenderedPageBreak/>
              <w:t>în piața competitivă a energiei electrice a Uniunii Europene; elaborarea măsurilor de asigurare a aprovizionării cu energie electrică; îndeplinirea corespunzătoare a obligațiunilor de serviciu public; asigurarea respectării drepturilor consumatorilor și a legislației privind protecția mediului înconjurător.</w:t>
            </w:r>
          </w:p>
          <w:p w14:paraId="3DF171D7" w14:textId="278A4DA1" w:rsidR="00A248C7" w:rsidRPr="0003484C" w:rsidRDefault="00A248C7" w:rsidP="00F366BA">
            <w:pPr>
              <w:spacing w:after="120" w:line="276" w:lineRule="auto"/>
              <w:jc w:val="both"/>
              <w:rPr>
                <w:sz w:val="24"/>
                <w:szCs w:val="24"/>
                <w:lang w:eastAsia="fr-FR"/>
              </w:rPr>
            </w:pPr>
            <w:r>
              <w:rPr>
                <w:sz w:val="24"/>
                <w:szCs w:val="24"/>
                <w:lang w:eastAsia="fr-FR"/>
              </w:rPr>
              <w:t>C</w:t>
            </w:r>
            <w:r w:rsidRPr="0003484C">
              <w:rPr>
                <w:sz w:val="24"/>
                <w:szCs w:val="24"/>
                <w:lang w:eastAsia="fr-FR"/>
              </w:rPr>
              <w:t>u privire la gazele naturale stabilește cadrul legal pentru organizarea, reglementarea, operarea și monitorizarea sectorului gazelor naturale. Legea prevede dezvoltarea unei piețe competitive a gazelor naturale, protejarea drepturilor consumatorilor și respectarea unor norme cu privire la protecția mediului înconjurător.</w:t>
            </w:r>
          </w:p>
          <w:p w14:paraId="72A919D9" w14:textId="77777777" w:rsidR="00A248C7" w:rsidRPr="0003484C" w:rsidRDefault="00A248C7" w:rsidP="00F366BA">
            <w:pPr>
              <w:spacing w:after="120" w:line="276" w:lineRule="auto"/>
              <w:jc w:val="both"/>
              <w:rPr>
                <w:sz w:val="24"/>
                <w:szCs w:val="24"/>
                <w:lang w:eastAsia="fr-FR"/>
              </w:rPr>
            </w:pPr>
            <w:r w:rsidRPr="0003484C">
              <w:rPr>
                <w:sz w:val="24"/>
                <w:szCs w:val="24"/>
                <w:lang w:eastAsia="fr-FR"/>
              </w:rPr>
              <w:t>Legea nr. 461-XV/2001 cu privire la piață produselor petroliere reglementează importul, transportul, stocarea și comerțul cu produse petroliere pe piața internă.</w:t>
            </w:r>
          </w:p>
          <w:p w14:paraId="5C518461" w14:textId="77777777" w:rsidR="00A248C7" w:rsidRPr="0003484C" w:rsidRDefault="00A248C7" w:rsidP="00F366BA">
            <w:pPr>
              <w:spacing w:after="120" w:line="276" w:lineRule="auto"/>
              <w:jc w:val="both"/>
              <w:rPr>
                <w:sz w:val="24"/>
                <w:szCs w:val="24"/>
                <w:lang w:eastAsia="fr-FR"/>
              </w:rPr>
            </w:pPr>
            <w:r w:rsidRPr="0003484C">
              <w:rPr>
                <w:sz w:val="24"/>
                <w:szCs w:val="24"/>
                <w:lang w:eastAsia="fr-FR"/>
              </w:rPr>
              <w:t>O serie de acte normative secundare relevante pentru asigurarea funcționarii eficiente a pieței de energie sunt adoptate și implementate de către Agenția Națională de Reglementare în Energetică (ANRE).</w:t>
            </w:r>
          </w:p>
          <w:p w14:paraId="3E506278" w14:textId="77777777" w:rsidR="00A248C7" w:rsidRPr="0003484C" w:rsidRDefault="00A248C7" w:rsidP="00F366BA">
            <w:pPr>
              <w:spacing w:after="120" w:line="276" w:lineRule="auto"/>
              <w:jc w:val="both"/>
              <w:rPr>
                <w:sz w:val="24"/>
                <w:szCs w:val="24"/>
                <w:lang w:eastAsia="fr-FR"/>
              </w:rPr>
            </w:pPr>
            <w:r w:rsidRPr="0003484C">
              <w:rPr>
                <w:sz w:val="24"/>
                <w:szCs w:val="24"/>
                <w:lang w:eastAsia="fr-FR"/>
              </w:rPr>
              <w:t>Directiva UE 2019/943 cu privire la piața internă a energiei electrice și Regulamentul UE 2019/944 cu privire la energia electrică urmează a fi transpuse în legislația națională în viitorul apropiat.</w:t>
            </w:r>
          </w:p>
          <w:p w14:paraId="2CDE5848" w14:textId="77777777" w:rsidR="00A248C7" w:rsidRPr="0003484C" w:rsidRDefault="00A248C7" w:rsidP="00F366BA">
            <w:pPr>
              <w:spacing w:after="120" w:line="276" w:lineRule="auto"/>
              <w:jc w:val="both"/>
              <w:rPr>
                <w:sz w:val="24"/>
                <w:szCs w:val="24"/>
                <w:lang w:eastAsia="fr-FR"/>
              </w:rPr>
            </w:pPr>
            <w:r w:rsidRPr="0003484C">
              <w:rPr>
                <w:sz w:val="24"/>
                <w:szCs w:val="24"/>
                <w:lang w:eastAsia="fr-FR"/>
              </w:rPr>
              <w:t xml:space="preserve">Guvernul Republicii Moldova este implicat în prezent în procesul de implementare a mai multor proiecte de infrastructură energetică ce vizează diversificarea surselor de aprovizionare cu energie și a căilor de tranzit la nivel regional și continental. </w:t>
            </w:r>
          </w:p>
          <w:p w14:paraId="1932181F" w14:textId="68ED8EF5" w:rsidR="00A94C7A" w:rsidRPr="00D21201" w:rsidRDefault="00A248C7" w:rsidP="00F366BA">
            <w:pPr>
              <w:spacing w:after="120" w:line="276" w:lineRule="auto"/>
              <w:jc w:val="both"/>
              <w:rPr>
                <w:sz w:val="24"/>
                <w:szCs w:val="24"/>
              </w:rPr>
            </w:pPr>
            <w:r w:rsidRPr="0003484C">
              <w:rPr>
                <w:sz w:val="24"/>
                <w:szCs w:val="24"/>
                <w:lang w:eastAsia="fr-FR"/>
              </w:rPr>
              <w:t>În prezent se află în curs de implementare sau de proiectare o serie de măsuri ce vizează îmbunătățirea nivelului de integrare a pieței energiei. Este vorba de măsuri care vor spori flexibilitatea sistemului energetic și va permite în consecință o mai bună integrare a energiei electrice din surse regenerabile. În plus, se prevede implementarea mecanismelor de cuplare a piețelor, a piețelor intra-zilnice și a piețelor transfrontaliere de echilibrare a sistemelor energetice. Un loc aparte în acest context îl ocupă proiectele de susținere a cogenerării de eficiență înaltă și cele de susținere a inițiativelor privind generarea, transportul și utilizarea energiei electrice din surse regenerabile. Măsurile planificate prevăd și protecția drepturilor consumatorilor prin îmbunătățirea competitivității pe piața energiei cu amănuntul. În scopul diminuării vulnerabilității energetice sunt prevăzute mecanisme de protecție și subvenționare a consumatorilor din categoriile social vulnerabile. O serie de măsuri vor fi întreprinse pentru a dezvolta răspunsul la cerere și pentru a aborda problema stabilirii tarifelor, inclusiv sprijinirea sistemelor de stabilire dinamică a prețurilor</w:t>
            </w:r>
            <w:r w:rsidR="00A94C7A" w:rsidRPr="00D21201">
              <w:rPr>
                <w:color w:val="000000"/>
                <w:sz w:val="24"/>
                <w:szCs w:val="24"/>
                <w:lang w:eastAsia="fr-FR"/>
              </w:rPr>
              <w:t>.</w:t>
            </w:r>
          </w:p>
          <w:p w14:paraId="31D41EE6" w14:textId="77777777" w:rsidR="00A94C7A" w:rsidRPr="00D21201" w:rsidRDefault="00A94C7A" w:rsidP="00F366BA">
            <w:pPr>
              <w:spacing w:after="120" w:line="276" w:lineRule="auto"/>
              <w:jc w:val="both"/>
              <w:rPr>
                <w:b/>
                <w:color w:val="000000"/>
                <w:sz w:val="24"/>
                <w:szCs w:val="24"/>
                <w:lang w:eastAsia="fr-FR"/>
              </w:rPr>
            </w:pPr>
            <w:r w:rsidRPr="00D21201">
              <w:rPr>
                <w:b/>
                <w:color w:val="000000"/>
                <w:sz w:val="24"/>
                <w:szCs w:val="24"/>
                <w:lang w:eastAsia="fr-FR"/>
              </w:rPr>
              <w:t>Dimensiunea Eficiență energetică</w:t>
            </w:r>
          </w:p>
          <w:p w14:paraId="66ED845F" w14:textId="77777777" w:rsidR="007F019B" w:rsidRPr="0003484C" w:rsidRDefault="007F019B" w:rsidP="00F366BA">
            <w:pPr>
              <w:spacing w:after="120" w:line="276" w:lineRule="auto"/>
              <w:jc w:val="both"/>
              <w:rPr>
                <w:sz w:val="24"/>
                <w:szCs w:val="24"/>
                <w:lang w:eastAsia="fr-FR"/>
              </w:rPr>
            </w:pPr>
            <w:r w:rsidRPr="0003484C">
              <w:rPr>
                <w:sz w:val="24"/>
                <w:szCs w:val="24"/>
                <w:lang w:eastAsia="fr-FR"/>
              </w:rPr>
              <w:t xml:space="preserve">Legea nr. 139/2018 cu privire la eficiența energetică subliniază în mod expres utilitatea PNEC, în calitatea sa de instrument de politici publice care permite stabilirea obiectivelor naționale în domeniul respectiv. Documentul creează un  cadru legal și normativ favorabil pentru sporirea gradului de implementare a măsurilor de eficiență energetică, a căror obiectiv final este reducerea consumului de energie și a emisiilor de GES. Guvernul Republicii Moldova și-a asumat responsabilitatea să implementeze în fiecare an măsuri de eficiență energetică la edificii publice care acoperă minim 3% din suprafața totală a clădirilor autorităților administrației publice centrale de specialitate. Crearea unui sistem informațional de management al energiei </w:t>
            </w:r>
            <w:r w:rsidRPr="0003484C">
              <w:rPr>
                <w:sz w:val="24"/>
                <w:szCs w:val="24"/>
                <w:lang w:eastAsia="fr-FR"/>
              </w:rPr>
              <w:lastRenderedPageBreak/>
              <w:t>va permite monitorizarea consumului de energie și apă în clădiri, fapt care va conduce la economisirea anuală a unor resurse financiare estimate între 80 și 300 de milioane de lei.</w:t>
            </w:r>
          </w:p>
          <w:p w14:paraId="40FC167D" w14:textId="77777777" w:rsidR="007F019B" w:rsidRPr="0003484C" w:rsidRDefault="007F019B" w:rsidP="00F366BA">
            <w:pPr>
              <w:spacing w:after="120" w:line="276" w:lineRule="auto"/>
              <w:jc w:val="both"/>
              <w:rPr>
                <w:sz w:val="24"/>
                <w:szCs w:val="24"/>
                <w:lang w:eastAsia="fr-FR"/>
              </w:rPr>
            </w:pPr>
            <w:r w:rsidRPr="0003484C">
              <w:rPr>
                <w:sz w:val="24"/>
                <w:szCs w:val="24"/>
                <w:lang w:eastAsia="fr-FR"/>
              </w:rPr>
              <w:t>Înlăturarea barierelor de ordin reglementar care încetinesc sau împiedică implementarea modelelor de servicii și procese de eficiență energetică este una din prioritățile pentru următorii ani. Astfel, promovarea achizițiilor bazate pe principiile eficienței energetice, auditul energetic al clădirilor, campaniile de informare a consumatorilor, trainingurile de abilitare a consumatorilor în domeniul eficienței energetice și alte procese similare vor permite accesul unui număr cât mai mare de consumatori finali la beneficiile rezultate din sporirea eficienței energetice.</w:t>
            </w:r>
          </w:p>
          <w:p w14:paraId="21F79B6B" w14:textId="77777777" w:rsidR="007F019B" w:rsidRPr="0003484C" w:rsidRDefault="007F019B" w:rsidP="00F366BA">
            <w:pPr>
              <w:spacing w:after="120" w:line="276" w:lineRule="auto"/>
              <w:jc w:val="both"/>
              <w:rPr>
                <w:sz w:val="24"/>
                <w:szCs w:val="24"/>
              </w:rPr>
            </w:pPr>
            <w:r w:rsidRPr="0003484C">
              <w:rPr>
                <w:sz w:val="24"/>
                <w:szCs w:val="24"/>
                <w:lang w:eastAsia="fr-FR"/>
              </w:rPr>
              <w:t>În conformitate cu cadrul stabilit de Legea cu privire la eficiența energetică, Guvernul monitorizează investițiile de capital în proiecte care generează economii de energie, în sectorul public și cel privat. Printre cele mai importante proiecte implementate în domeniul eficienței energetice, pot fi menționate</w:t>
            </w:r>
            <w:r w:rsidRPr="0003484C">
              <w:rPr>
                <w:sz w:val="24"/>
                <w:szCs w:val="24"/>
              </w:rPr>
              <w:t>:</w:t>
            </w:r>
          </w:p>
          <w:p w14:paraId="331221D4" w14:textId="77777777" w:rsidR="007F019B" w:rsidRPr="0003484C" w:rsidRDefault="007F019B" w:rsidP="00F366BA">
            <w:pPr>
              <w:pStyle w:val="Listparagraf"/>
              <w:numPr>
                <w:ilvl w:val="0"/>
                <w:numId w:val="3"/>
              </w:numPr>
              <w:spacing w:after="120" w:line="276" w:lineRule="auto"/>
              <w:jc w:val="both"/>
              <w:rPr>
                <w:rFonts w:ascii="Times New Roman" w:hAnsi="Times New Roman"/>
                <w:sz w:val="24"/>
                <w:szCs w:val="24"/>
              </w:rPr>
            </w:pPr>
            <w:r w:rsidRPr="0003484C">
              <w:rPr>
                <w:rFonts w:ascii="Times New Roman" w:hAnsi="Times New Roman"/>
                <w:sz w:val="24"/>
                <w:szCs w:val="24"/>
              </w:rPr>
              <w:t>Proiectul de Eficien</w:t>
            </w:r>
            <w:r w:rsidRPr="0003484C">
              <w:rPr>
                <w:rFonts w:ascii="Times New Roman" w:eastAsia="Times New Roman" w:hAnsi="Times New Roman"/>
                <w:sz w:val="24"/>
                <w:szCs w:val="24"/>
                <w:lang w:eastAsia="fr-FR"/>
              </w:rPr>
              <w:t>ță</w:t>
            </w:r>
            <w:r w:rsidRPr="0003484C">
              <w:rPr>
                <w:rFonts w:ascii="Times New Roman" w:hAnsi="Times New Roman"/>
                <w:sz w:val="24"/>
                <w:szCs w:val="24"/>
              </w:rPr>
              <w:t xml:space="preserve"> energetic</w:t>
            </w:r>
            <w:r w:rsidRPr="0003484C">
              <w:rPr>
                <w:rFonts w:ascii="Times New Roman" w:eastAsia="Times New Roman" w:hAnsi="Times New Roman"/>
                <w:sz w:val="24"/>
                <w:szCs w:val="24"/>
                <w:lang w:eastAsia="fr-FR"/>
              </w:rPr>
              <w:t>ă</w:t>
            </w:r>
            <w:r w:rsidRPr="0003484C">
              <w:rPr>
                <w:rFonts w:ascii="Times New Roman" w:hAnsi="Times New Roman"/>
                <w:sz w:val="24"/>
                <w:szCs w:val="24"/>
              </w:rPr>
              <w:t xml:space="preserve"> în Republica Moldova, cu un buget de 75,5 Mln euro;</w:t>
            </w:r>
          </w:p>
          <w:p w14:paraId="59A88034" w14:textId="77777777" w:rsidR="007F019B" w:rsidRPr="0003484C" w:rsidRDefault="007F019B" w:rsidP="00F366BA">
            <w:pPr>
              <w:pStyle w:val="Listparagraf"/>
              <w:numPr>
                <w:ilvl w:val="0"/>
                <w:numId w:val="3"/>
              </w:numPr>
              <w:spacing w:after="120" w:line="276" w:lineRule="auto"/>
              <w:jc w:val="both"/>
              <w:rPr>
                <w:rFonts w:ascii="Times New Roman" w:hAnsi="Times New Roman"/>
                <w:sz w:val="24"/>
                <w:szCs w:val="24"/>
              </w:rPr>
            </w:pPr>
            <w:r w:rsidRPr="0003484C">
              <w:rPr>
                <w:rFonts w:ascii="Times New Roman" w:hAnsi="Times New Roman"/>
                <w:sz w:val="24"/>
                <w:szCs w:val="24"/>
              </w:rPr>
              <w:t xml:space="preserve">Proiectul de </w:t>
            </w:r>
            <w:r w:rsidRPr="0003484C">
              <w:rPr>
                <w:rFonts w:ascii="Times New Roman" w:eastAsia="Times New Roman" w:hAnsi="Times New Roman"/>
                <w:sz w:val="24"/>
                <w:szCs w:val="24"/>
                <w:lang w:eastAsia="fr-FR"/>
              </w:rPr>
              <w:t>Î</w:t>
            </w:r>
            <w:r w:rsidRPr="0003484C">
              <w:rPr>
                <w:rFonts w:ascii="Times New Roman" w:hAnsi="Times New Roman"/>
                <w:sz w:val="24"/>
                <w:szCs w:val="24"/>
              </w:rPr>
              <w:t>mbun</w:t>
            </w:r>
            <w:r w:rsidRPr="0003484C">
              <w:rPr>
                <w:rFonts w:ascii="Times New Roman" w:eastAsia="Times New Roman" w:hAnsi="Times New Roman"/>
                <w:sz w:val="24"/>
                <w:szCs w:val="24"/>
                <w:lang w:eastAsia="fr-FR"/>
              </w:rPr>
              <w:t>ă</w:t>
            </w:r>
            <w:r w:rsidRPr="0003484C">
              <w:rPr>
                <w:rFonts w:ascii="Times New Roman" w:hAnsi="Times New Roman"/>
                <w:sz w:val="24"/>
                <w:szCs w:val="24"/>
              </w:rPr>
              <w:t>t</w:t>
            </w:r>
            <w:r w:rsidRPr="0003484C">
              <w:rPr>
                <w:rFonts w:ascii="Times New Roman" w:eastAsia="Times New Roman" w:hAnsi="Times New Roman"/>
                <w:sz w:val="24"/>
                <w:szCs w:val="24"/>
                <w:lang w:eastAsia="fr-FR"/>
              </w:rPr>
              <w:t>ăț</w:t>
            </w:r>
            <w:r w:rsidRPr="0003484C">
              <w:rPr>
                <w:rFonts w:ascii="Times New Roman" w:hAnsi="Times New Roman"/>
                <w:sz w:val="24"/>
                <w:szCs w:val="24"/>
              </w:rPr>
              <w:t>ire a Eficien</w:t>
            </w:r>
            <w:r w:rsidRPr="0003484C">
              <w:rPr>
                <w:rFonts w:ascii="Times New Roman" w:eastAsia="Times New Roman" w:hAnsi="Times New Roman"/>
                <w:sz w:val="24"/>
                <w:szCs w:val="24"/>
                <w:lang w:eastAsia="fr-FR"/>
              </w:rPr>
              <w:t>ț</w:t>
            </w:r>
            <w:r w:rsidRPr="0003484C">
              <w:rPr>
                <w:rFonts w:ascii="Times New Roman" w:hAnsi="Times New Roman"/>
                <w:sz w:val="24"/>
                <w:szCs w:val="24"/>
              </w:rPr>
              <w:t>ei energetice în Sistemul de Aprovizionare cu Energie Termic</w:t>
            </w:r>
            <w:r w:rsidRPr="0003484C">
              <w:rPr>
                <w:rFonts w:ascii="Times New Roman" w:eastAsia="Times New Roman" w:hAnsi="Times New Roman"/>
                <w:sz w:val="24"/>
                <w:szCs w:val="24"/>
                <w:lang w:eastAsia="fr-FR"/>
              </w:rPr>
              <w:t>ă</w:t>
            </w:r>
            <w:r w:rsidRPr="0003484C">
              <w:rPr>
                <w:rFonts w:ascii="Times New Roman" w:hAnsi="Times New Roman"/>
                <w:sz w:val="24"/>
                <w:szCs w:val="24"/>
              </w:rPr>
              <w:t xml:space="preserve"> în municipiul Chi</w:t>
            </w:r>
            <w:r w:rsidRPr="0003484C">
              <w:rPr>
                <w:rFonts w:ascii="Times New Roman" w:eastAsia="Times New Roman" w:hAnsi="Times New Roman"/>
                <w:sz w:val="24"/>
                <w:szCs w:val="24"/>
                <w:lang w:eastAsia="fr-FR"/>
              </w:rPr>
              <w:t>ș</w:t>
            </w:r>
            <w:r w:rsidRPr="0003484C">
              <w:rPr>
                <w:rFonts w:ascii="Times New Roman" w:hAnsi="Times New Roman"/>
                <w:sz w:val="24"/>
                <w:szCs w:val="24"/>
              </w:rPr>
              <w:t>in</w:t>
            </w:r>
            <w:r w:rsidRPr="0003484C">
              <w:rPr>
                <w:rFonts w:ascii="Times New Roman" w:eastAsia="Times New Roman" w:hAnsi="Times New Roman"/>
                <w:sz w:val="24"/>
                <w:szCs w:val="24"/>
                <w:lang w:eastAsia="fr-FR"/>
              </w:rPr>
              <w:t>ă</w:t>
            </w:r>
            <w:r w:rsidRPr="0003484C">
              <w:rPr>
                <w:rFonts w:ascii="Times New Roman" w:hAnsi="Times New Roman"/>
                <w:sz w:val="24"/>
                <w:szCs w:val="24"/>
              </w:rPr>
              <w:t>u (PIESACET-2), cu un buget de 92 Mln euro;</w:t>
            </w:r>
          </w:p>
          <w:p w14:paraId="304B41F4" w14:textId="77777777" w:rsidR="007F019B" w:rsidRPr="0003484C" w:rsidRDefault="007F019B" w:rsidP="00F366BA">
            <w:pPr>
              <w:pStyle w:val="Listparagraf"/>
              <w:numPr>
                <w:ilvl w:val="0"/>
                <w:numId w:val="3"/>
              </w:numPr>
              <w:spacing w:after="120" w:line="276" w:lineRule="auto"/>
              <w:jc w:val="both"/>
              <w:rPr>
                <w:rFonts w:ascii="Times New Roman" w:hAnsi="Times New Roman"/>
                <w:sz w:val="24"/>
                <w:szCs w:val="24"/>
              </w:rPr>
            </w:pPr>
            <w:r w:rsidRPr="0003484C">
              <w:rPr>
                <w:rFonts w:ascii="Times New Roman" w:hAnsi="Times New Roman"/>
                <w:sz w:val="24"/>
                <w:szCs w:val="24"/>
              </w:rPr>
              <w:t>Proiectul „Sistemul termoenergetic al mun. B</w:t>
            </w:r>
            <w:r w:rsidRPr="0003484C">
              <w:rPr>
                <w:rFonts w:ascii="Times New Roman" w:eastAsia="Times New Roman" w:hAnsi="Times New Roman"/>
                <w:sz w:val="24"/>
                <w:szCs w:val="24"/>
                <w:lang w:eastAsia="fr-FR"/>
              </w:rPr>
              <w:t>ă</w:t>
            </w:r>
            <w:r w:rsidRPr="0003484C">
              <w:rPr>
                <w:rFonts w:ascii="Times New Roman" w:hAnsi="Times New Roman"/>
                <w:sz w:val="24"/>
                <w:szCs w:val="24"/>
              </w:rPr>
              <w:t>l</w:t>
            </w:r>
            <w:r w:rsidRPr="0003484C">
              <w:rPr>
                <w:rFonts w:ascii="Times New Roman" w:eastAsia="Times New Roman" w:hAnsi="Times New Roman"/>
                <w:sz w:val="24"/>
                <w:szCs w:val="24"/>
                <w:lang w:eastAsia="fr-FR"/>
              </w:rPr>
              <w:t>ț</w:t>
            </w:r>
            <w:r w:rsidRPr="0003484C">
              <w:rPr>
                <w:rFonts w:ascii="Times New Roman" w:hAnsi="Times New Roman"/>
                <w:sz w:val="24"/>
                <w:szCs w:val="24"/>
              </w:rPr>
              <w:t xml:space="preserve">i, SA „CET-Nord” ”, cu un buget total de 17 Mln euro </w:t>
            </w:r>
            <w:r w:rsidRPr="0003484C">
              <w:rPr>
                <w:rFonts w:ascii="Times New Roman" w:eastAsia="Times New Roman" w:hAnsi="Times New Roman"/>
                <w:sz w:val="24"/>
                <w:szCs w:val="24"/>
                <w:lang w:eastAsia="fr-FR"/>
              </w:rPr>
              <w:t>ș</w:t>
            </w:r>
            <w:r w:rsidRPr="0003484C">
              <w:rPr>
                <w:rFonts w:ascii="Times New Roman" w:hAnsi="Times New Roman"/>
                <w:sz w:val="24"/>
                <w:szCs w:val="24"/>
              </w:rPr>
              <w:t>i o durat</w:t>
            </w:r>
            <w:r w:rsidRPr="0003484C">
              <w:rPr>
                <w:rFonts w:ascii="Times New Roman" w:eastAsia="Times New Roman" w:hAnsi="Times New Roman"/>
                <w:sz w:val="24"/>
                <w:szCs w:val="24"/>
                <w:lang w:eastAsia="fr-FR"/>
              </w:rPr>
              <w:t>ă</w:t>
            </w:r>
            <w:r w:rsidRPr="0003484C">
              <w:rPr>
                <w:rFonts w:ascii="Times New Roman" w:hAnsi="Times New Roman"/>
                <w:sz w:val="24"/>
                <w:szCs w:val="24"/>
              </w:rPr>
              <w:t xml:space="preserve"> de implementare de 3 ani (2022 – 2025);</w:t>
            </w:r>
          </w:p>
          <w:p w14:paraId="522DF92B" w14:textId="77777777" w:rsidR="007F019B" w:rsidRPr="0003484C" w:rsidRDefault="007F019B" w:rsidP="00F366BA">
            <w:pPr>
              <w:pStyle w:val="Listparagraf"/>
              <w:numPr>
                <w:ilvl w:val="0"/>
                <w:numId w:val="3"/>
              </w:numPr>
              <w:spacing w:after="120" w:line="276" w:lineRule="auto"/>
              <w:jc w:val="both"/>
              <w:rPr>
                <w:rFonts w:ascii="Times New Roman" w:hAnsi="Times New Roman"/>
                <w:sz w:val="24"/>
                <w:szCs w:val="24"/>
              </w:rPr>
            </w:pPr>
            <w:r w:rsidRPr="0003484C">
              <w:rPr>
                <w:rFonts w:ascii="Times New Roman" w:hAnsi="Times New Roman"/>
                <w:sz w:val="24"/>
                <w:szCs w:val="24"/>
              </w:rPr>
              <w:t>Proiectele de eficien</w:t>
            </w:r>
            <w:r w:rsidRPr="0003484C">
              <w:rPr>
                <w:rFonts w:ascii="Times New Roman" w:eastAsia="Times New Roman" w:hAnsi="Times New Roman"/>
                <w:sz w:val="24"/>
                <w:szCs w:val="24"/>
                <w:lang w:eastAsia="fr-FR"/>
              </w:rPr>
              <w:t>ță</w:t>
            </w:r>
            <w:r w:rsidRPr="0003484C">
              <w:rPr>
                <w:rFonts w:ascii="Times New Roman" w:hAnsi="Times New Roman"/>
                <w:sz w:val="24"/>
                <w:szCs w:val="24"/>
              </w:rPr>
              <w:t xml:space="preserve"> energetic</w:t>
            </w:r>
            <w:r w:rsidRPr="0003484C">
              <w:rPr>
                <w:rFonts w:ascii="Times New Roman" w:eastAsia="Times New Roman" w:hAnsi="Times New Roman"/>
                <w:sz w:val="24"/>
                <w:szCs w:val="24"/>
                <w:lang w:eastAsia="fr-FR"/>
              </w:rPr>
              <w:t>ă</w:t>
            </w:r>
            <w:r w:rsidRPr="0003484C">
              <w:rPr>
                <w:rFonts w:ascii="Times New Roman" w:hAnsi="Times New Roman"/>
                <w:sz w:val="24"/>
                <w:szCs w:val="24"/>
              </w:rPr>
              <w:t xml:space="preserve"> finan</w:t>
            </w:r>
            <w:r w:rsidRPr="0003484C">
              <w:rPr>
                <w:rFonts w:ascii="Times New Roman" w:eastAsia="Times New Roman" w:hAnsi="Times New Roman"/>
                <w:sz w:val="24"/>
                <w:szCs w:val="24"/>
                <w:lang w:eastAsia="fr-FR"/>
              </w:rPr>
              <w:t>ț</w:t>
            </w:r>
            <w:r w:rsidRPr="0003484C">
              <w:rPr>
                <w:rFonts w:ascii="Times New Roman" w:hAnsi="Times New Roman"/>
                <w:sz w:val="24"/>
                <w:szCs w:val="24"/>
              </w:rPr>
              <w:t>ate prin intermediul Fondului Na</w:t>
            </w:r>
            <w:r w:rsidRPr="0003484C">
              <w:rPr>
                <w:rFonts w:ascii="Times New Roman" w:eastAsia="Times New Roman" w:hAnsi="Times New Roman"/>
                <w:sz w:val="24"/>
                <w:szCs w:val="24"/>
                <w:lang w:eastAsia="fr-FR"/>
              </w:rPr>
              <w:t>ț</w:t>
            </w:r>
            <w:r w:rsidRPr="0003484C">
              <w:rPr>
                <w:rFonts w:ascii="Times New Roman" w:hAnsi="Times New Roman"/>
                <w:sz w:val="24"/>
                <w:szCs w:val="24"/>
              </w:rPr>
              <w:t>ional pentru Dezvoltarea Regional</w:t>
            </w:r>
            <w:r w:rsidRPr="0003484C">
              <w:rPr>
                <w:rFonts w:ascii="Times New Roman" w:eastAsia="Times New Roman" w:hAnsi="Times New Roman"/>
                <w:sz w:val="24"/>
                <w:szCs w:val="24"/>
                <w:lang w:eastAsia="fr-FR"/>
              </w:rPr>
              <w:t>ă</w:t>
            </w:r>
            <w:r w:rsidRPr="0003484C">
              <w:rPr>
                <w:rFonts w:ascii="Times New Roman" w:hAnsi="Times New Roman"/>
                <w:sz w:val="24"/>
                <w:szCs w:val="24"/>
              </w:rPr>
              <w:t xml:space="preserve"> </w:t>
            </w:r>
            <w:r w:rsidRPr="0003484C">
              <w:rPr>
                <w:rFonts w:ascii="Times New Roman" w:eastAsia="Times New Roman" w:hAnsi="Times New Roman"/>
                <w:sz w:val="24"/>
                <w:szCs w:val="24"/>
                <w:lang w:eastAsia="fr-FR"/>
              </w:rPr>
              <w:t>ș</w:t>
            </w:r>
            <w:r w:rsidRPr="0003484C">
              <w:rPr>
                <w:rFonts w:ascii="Times New Roman" w:hAnsi="Times New Roman"/>
                <w:sz w:val="24"/>
                <w:szCs w:val="24"/>
              </w:rPr>
              <w:t>i Local</w:t>
            </w:r>
            <w:r w:rsidRPr="0003484C">
              <w:rPr>
                <w:rFonts w:ascii="Times New Roman" w:eastAsia="Times New Roman" w:hAnsi="Times New Roman"/>
                <w:sz w:val="24"/>
                <w:szCs w:val="24"/>
                <w:lang w:eastAsia="fr-FR"/>
              </w:rPr>
              <w:t>ă</w:t>
            </w:r>
            <w:r w:rsidRPr="0003484C">
              <w:rPr>
                <w:rFonts w:ascii="Times New Roman" w:hAnsi="Times New Roman"/>
                <w:sz w:val="24"/>
                <w:szCs w:val="24"/>
              </w:rPr>
              <w:t>;</w:t>
            </w:r>
          </w:p>
          <w:p w14:paraId="48BCC40E" w14:textId="77777777" w:rsidR="007F019B" w:rsidRPr="0003484C" w:rsidRDefault="007F019B" w:rsidP="00F366BA">
            <w:pPr>
              <w:spacing w:after="120" w:line="276" w:lineRule="auto"/>
              <w:jc w:val="both"/>
              <w:rPr>
                <w:sz w:val="24"/>
                <w:szCs w:val="24"/>
                <w:lang w:eastAsia="fr-FR"/>
              </w:rPr>
            </w:pPr>
            <w:r w:rsidRPr="0003484C">
              <w:rPr>
                <w:sz w:val="24"/>
                <w:szCs w:val="24"/>
                <w:lang w:eastAsia="fr-FR"/>
              </w:rPr>
              <w:t>Totodată, Legea cu privire la eficiență energetică prevede implementarea unor mecanisme care ar permite, începând cu anul 2024, economisirea a minim 0,8% din valoarea consumului brut mediu de energie înregistrat între 1 ianuarie 2019 și 1 ianuarie 2022. Se estimează că aplicarea acestor măsuri în sectoare cum ar fi industria, transportul, agricultura, serviciile și gospodăriile casnice – ar genera economii anuale de aproximativ 21 ktep.</w:t>
            </w:r>
          </w:p>
          <w:p w14:paraId="0CBA3A56" w14:textId="77777777" w:rsidR="007F019B" w:rsidRPr="0003484C" w:rsidRDefault="007F019B" w:rsidP="00F366BA">
            <w:pPr>
              <w:spacing w:after="120" w:line="276" w:lineRule="auto"/>
              <w:jc w:val="both"/>
              <w:rPr>
                <w:sz w:val="24"/>
                <w:szCs w:val="24"/>
                <w:lang w:eastAsia="fr-FR"/>
              </w:rPr>
            </w:pPr>
            <w:r w:rsidRPr="0003484C">
              <w:rPr>
                <w:sz w:val="24"/>
                <w:szCs w:val="24"/>
                <w:lang w:eastAsia="fr-FR"/>
              </w:rPr>
              <w:t>O prevedere importantă a Legii cu privire la eficiența energetică se referă la echiparea consumatorilor cu contoare ‚</w:t>
            </w:r>
            <w:r w:rsidRPr="0003484C">
              <w:rPr>
                <w:i/>
                <w:iCs/>
                <w:sz w:val="24"/>
                <w:szCs w:val="24"/>
                <w:lang w:eastAsia="fr-FR"/>
              </w:rPr>
              <w:t>smart</w:t>
            </w:r>
            <w:r w:rsidRPr="0003484C">
              <w:rPr>
                <w:sz w:val="24"/>
                <w:szCs w:val="24"/>
                <w:lang w:eastAsia="fr-FR"/>
              </w:rPr>
              <w:t>’ de către distribuitorii de energie, dacă poate fi argumentat faptul că această măsură este fezabilă din punct de vedere tehnic și profitabilă în plan financiar. Implementarea acestei măsuri va permite reflectarea în timp real a consumului de energie și va pregăti în acest fel terenul pentru aplicarea tarifelor diferențiate. Implementarea măsurilor de eficiență energetică în infrastructura electroenergetică și cea a gazului natural va spori economiile de energie și performanța globală a sistemelor de transport și de distribuție.</w:t>
            </w:r>
          </w:p>
          <w:p w14:paraId="5F5CA246" w14:textId="77777777" w:rsidR="007F019B" w:rsidRPr="0003484C" w:rsidRDefault="007F019B" w:rsidP="00F366BA">
            <w:pPr>
              <w:spacing w:after="120" w:line="276" w:lineRule="auto"/>
              <w:jc w:val="both"/>
              <w:rPr>
                <w:sz w:val="24"/>
                <w:szCs w:val="24"/>
                <w:lang w:eastAsia="fr-FR"/>
              </w:rPr>
            </w:pPr>
            <w:r w:rsidRPr="0003484C">
              <w:rPr>
                <w:sz w:val="24"/>
                <w:szCs w:val="24"/>
                <w:lang w:eastAsia="fr-FR"/>
              </w:rPr>
              <w:t>În conformitate cu Legea cu privire la eficienta energetică, organul central de specialitate al administrației în domeniul energeticii elaborează Strategia sectorială pentru renovarea fondului imobiliar national pe termen lung. Documentul respectiv oferă o imagine de ansamblu a fondului imobiliar național și conține soluții identificate pentru renovarea acestuia și politici și măsuri de stimulare a lucrărilor de renovare majoră și eficientă din punct de vedere economic. Strategia sectorială conține și o estimare a economiilor de energie preconizate.</w:t>
            </w:r>
          </w:p>
          <w:p w14:paraId="7FCA37A2" w14:textId="77777777" w:rsidR="007F019B" w:rsidRPr="0003484C" w:rsidRDefault="007F019B" w:rsidP="00F366BA">
            <w:pPr>
              <w:spacing w:after="120" w:line="276" w:lineRule="auto"/>
              <w:jc w:val="both"/>
              <w:rPr>
                <w:sz w:val="24"/>
                <w:szCs w:val="24"/>
                <w:lang w:eastAsia="fr-FR"/>
              </w:rPr>
            </w:pPr>
            <w:r w:rsidRPr="0003484C">
              <w:rPr>
                <w:sz w:val="24"/>
                <w:szCs w:val="24"/>
                <w:lang w:eastAsia="fr-FR"/>
              </w:rPr>
              <w:t>Legea cu privire la eficiența energetică prevede creșterea rolului Agenției pentru Eficiență Energetică în promovarea politicii de stat din domeniu. Astfel, instituția va implementa un mecanism de subsidiere a consumului de resurse energetice și de finanțare a proiectelor în sectorul rezidențial, ca instrument de contracarare a vulnerabilității energetice.</w:t>
            </w:r>
          </w:p>
          <w:p w14:paraId="0BC54AC0" w14:textId="77777777" w:rsidR="007F019B" w:rsidRPr="0003484C" w:rsidRDefault="007F019B" w:rsidP="00F366BA">
            <w:pPr>
              <w:spacing w:after="120" w:line="276" w:lineRule="auto"/>
              <w:jc w:val="both"/>
              <w:rPr>
                <w:sz w:val="24"/>
                <w:szCs w:val="24"/>
                <w:lang w:eastAsia="fr-FR"/>
              </w:rPr>
            </w:pPr>
            <w:r w:rsidRPr="0003484C">
              <w:rPr>
                <w:sz w:val="24"/>
                <w:szCs w:val="24"/>
                <w:lang w:eastAsia="fr-FR"/>
              </w:rPr>
              <w:lastRenderedPageBreak/>
              <w:t xml:space="preserve">Legea nr. 92/2014 cu privire la energia termică și promovarea cogenerării reglementează activitatea sistemelor centralizate de alimentare cu energie termică, cu scopul de a îmbunătăți eficiența energetică și de a diminua efectele negative ale sub-sectorului energie termică asupra mediului înconjurător, inclusiv prin folosirea tehnologiilor moderne de cogenerare. PNEC evaluează potențialul utilizării cogenerării eficiente în Republica Moldova și prevede o serie de măsuri pentru modernizarea capacităților de generare existente, creșterea nivelului de interconectare a surselor de energie, utilizarea tehnologiilor de tip </w:t>
            </w:r>
            <w:r w:rsidRPr="0003484C">
              <w:rPr>
                <w:i/>
                <w:sz w:val="24"/>
                <w:szCs w:val="24"/>
                <w:lang w:eastAsia="fr-FR"/>
              </w:rPr>
              <w:t>‚smart charging’</w:t>
            </w:r>
            <w:r w:rsidRPr="0003484C">
              <w:rPr>
                <w:sz w:val="24"/>
                <w:szCs w:val="24"/>
                <w:lang w:eastAsia="fr-FR"/>
              </w:rPr>
              <w:t xml:space="preserve"> pentru vehiculele electrice, aplicarea tarifelor în funcție de momentul utilizării, etc.</w:t>
            </w:r>
          </w:p>
          <w:p w14:paraId="2AD155D5" w14:textId="77777777" w:rsidR="007F019B" w:rsidRPr="0003484C" w:rsidRDefault="007F019B" w:rsidP="00F366BA">
            <w:pPr>
              <w:spacing w:after="120" w:line="276" w:lineRule="auto"/>
              <w:jc w:val="both"/>
              <w:rPr>
                <w:sz w:val="24"/>
                <w:szCs w:val="24"/>
                <w:lang w:eastAsia="fr-FR"/>
              </w:rPr>
            </w:pPr>
            <w:r w:rsidRPr="0003484C">
              <w:rPr>
                <w:sz w:val="24"/>
                <w:szCs w:val="24"/>
                <w:lang w:eastAsia="fr-FR"/>
              </w:rPr>
              <w:t>Legea nr. 128/2014 privind performanța energetică a clădirilor stabilește cerințe cu privire la cadrul general pentru metodologia de calcul al performanței energetice a clădirilor și aplicarea cerințelor minime de performanță energetică pentru clădirile noi, cele existente atunci când acestea sunt supuse unor renovări majore, elementele care fac parte din anvelopa clădirii și sistemele tehnice ale clădirilor în caz de instalare, modernizare și înlocuire a acestora. Cerințele respective se referă și la certificarea performanței energetice a clădirilor, la inspecția periodică a sistemului de încălzire și a sistemului de climatizare din clădiri, și la sistemele de control independent al certificatelor de performanță energetică a clădirilor. Legea conține o serie de prevederi privind stimulentele financiare pentru promovarea îmbunătățirii performanței energetice a clădirilor și informarea în domeniul respectiv.</w:t>
            </w:r>
          </w:p>
          <w:p w14:paraId="02E427FD" w14:textId="3BD69B0E" w:rsidR="00A94C7A" w:rsidRPr="00D21201" w:rsidRDefault="007F019B" w:rsidP="00F366BA">
            <w:pPr>
              <w:spacing w:after="120" w:line="276" w:lineRule="auto"/>
              <w:jc w:val="both"/>
              <w:rPr>
                <w:color w:val="000000"/>
                <w:sz w:val="24"/>
                <w:szCs w:val="24"/>
                <w:lang w:eastAsia="fr-FR"/>
              </w:rPr>
            </w:pPr>
            <w:r w:rsidRPr="0003484C">
              <w:rPr>
                <w:sz w:val="24"/>
                <w:szCs w:val="24"/>
                <w:lang w:eastAsia="fr-FR"/>
              </w:rPr>
              <w:t>PNEC conține o proiecție a evoluției intensității energetice a PIB și intra-sectorială până în anul 2030, care pune în evidență un trend descrescător, în acord cu tendințele similare proiectate la nivel european</w:t>
            </w:r>
            <w:r w:rsidR="00A94C7A" w:rsidRPr="00D21201">
              <w:rPr>
                <w:color w:val="000000"/>
                <w:sz w:val="24"/>
                <w:szCs w:val="24"/>
                <w:lang w:eastAsia="fr-FR"/>
              </w:rPr>
              <w:t>.</w:t>
            </w:r>
          </w:p>
          <w:p w14:paraId="05DED19B" w14:textId="77777777" w:rsidR="00A94C7A" w:rsidRPr="00D21201" w:rsidRDefault="00A94C7A" w:rsidP="00F366BA">
            <w:pPr>
              <w:spacing w:after="120" w:line="276" w:lineRule="auto"/>
              <w:jc w:val="both"/>
              <w:rPr>
                <w:b/>
                <w:color w:val="000000"/>
                <w:sz w:val="24"/>
                <w:szCs w:val="24"/>
                <w:lang w:eastAsia="fr-FR"/>
              </w:rPr>
            </w:pPr>
            <w:r w:rsidRPr="00D21201">
              <w:rPr>
                <w:b/>
                <w:color w:val="000000"/>
                <w:sz w:val="24"/>
                <w:szCs w:val="24"/>
                <w:lang w:eastAsia="fr-FR"/>
              </w:rPr>
              <w:t>Dimensiunea Decarbonizare</w:t>
            </w:r>
          </w:p>
          <w:p w14:paraId="1A3E70EC" w14:textId="77777777" w:rsidR="000F24B4" w:rsidRPr="0003484C" w:rsidRDefault="000F24B4" w:rsidP="00F366BA">
            <w:pPr>
              <w:spacing w:after="120" w:line="276" w:lineRule="auto"/>
              <w:ind w:left="122"/>
              <w:jc w:val="both"/>
              <w:rPr>
                <w:sz w:val="24"/>
                <w:szCs w:val="24"/>
                <w:lang w:eastAsia="fr-FR"/>
              </w:rPr>
            </w:pPr>
            <w:r w:rsidRPr="0003484C">
              <w:rPr>
                <w:sz w:val="24"/>
                <w:szCs w:val="24"/>
                <w:lang w:eastAsia="fr-FR"/>
              </w:rPr>
              <w:t>Progresul pe această dimensiune este condiționat de dezvoltarea unui cadru de politici publice și instituțional care favorizează implementarea unui set de măsuri orientate spre reducerea emisiilor de gaze cu efect de seră. O atenție deosebită în acest context este acordată tematicii legate de generarea, utilizarea și promovarea energiei din surse regenerabile. Cadrul reglementar național în domeniul surselor de energie regenerabilă este în curs de aliniere la Pachetul Energie Curată (</w:t>
            </w:r>
            <w:r w:rsidRPr="0003484C">
              <w:rPr>
                <w:i/>
                <w:sz w:val="24"/>
                <w:szCs w:val="24"/>
                <w:lang w:eastAsia="fr-FR"/>
              </w:rPr>
              <w:t>Clean Energy Package</w:t>
            </w:r>
            <w:r w:rsidRPr="0003484C">
              <w:rPr>
                <w:sz w:val="24"/>
                <w:szCs w:val="24"/>
                <w:lang w:eastAsia="fr-FR"/>
              </w:rPr>
              <w:t>) al Uniunii Europene.</w:t>
            </w:r>
          </w:p>
          <w:p w14:paraId="687EC867" w14:textId="77777777" w:rsidR="000F24B4" w:rsidRPr="0003484C" w:rsidRDefault="000F24B4" w:rsidP="00F366BA">
            <w:pPr>
              <w:spacing w:after="120" w:line="276" w:lineRule="auto"/>
              <w:ind w:left="122"/>
              <w:jc w:val="both"/>
              <w:rPr>
                <w:sz w:val="24"/>
                <w:szCs w:val="24"/>
                <w:lang w:eastAsia="fr-FR"/>
              </w:rPr>
            </w:pPr>
            <w:r w:rsidRPr="0003484C">
              <w:rPr>
                <w:sz w:val="24"/>
                <w:szCs w:val="24"/>
                <w:lang w:eastAsia="fr-FR"/>
              </w:rPr>
              <w:t xml:space="preserve">În calitate de țară semnatară a Acordurilor de la Paris (2015), Republica Moldova și-a asumat angajamentul de a contribui la efortul internațional de limitare a efectului de încălzire globală “cu mult sub 2 °C” față de nivelul preindustrial. În acest sens, țara noastră a prezentat în anul 2020 la Secretariatul CONUSC cea de-a 2-a Contribuție Națională Determinată care definește ținte noi de reducere a emisiilor de gaze cu efect de seră. În scenariul necondiționat (fără vreun suport adițional), ținta respectivă preconizează o reducere a emisiilor de GES cu 70% în anul 2030 față de nivelul anului de referință 1990. Este semnificativ faptul, că în conformitate cu Raportul Național de Inventariere, emisiile de GES înregistrate în anul 2020 erau cu 69,5% mai reduse decât în anul de referință 1990. Ținta de reducere a emisiilor de GES într-un scenariu condiționat (care ține cont de disponibilitatea sporită a tehnologiilor, </w:t>
            </w:r>
            <w:r w:rsidRPr="0003484C">
              <w:rPr>
                <w:i/>
                <w:sz w:val="24"/>
                <w:szCs w:val="24"/>
                <w:lang w:eastAsia="fr-FR"/>
              </w:rPr>
              <w:t>know-how</w:t>
            </w:r>
            <w:r w:rsidRPr="0003484C">
              <w:rPr>
                <w:sz w:val="24"/>
                <w:szCs w:val="24"/>
                <w:lang w:eastAsia="fr-FR"/>
              </w:rPr>
              <w:t>-ului și resurselor financiare) este evaluată la 88% în anul 2030 în comparație cu anul de referință 1990. Modalitatea de atingere a acestor ținte reieșind din situația actuală și din proiecțiile pentru anii următori este explicitată în cea de a Cincea Comunicare Națională către CONUSC.</w:t>
            </w:r>
          </w:p>
          <w:p w14:paraId="62DAF9DF" w14:textId="77777777" w:rsidR="000F24B4" w:rsidRPr="0003484C" w:rsidRDefault="000F24B4" w:rsidP="00F366BA">
            <w:pPr>
              <w:spacing w:after="120" w:line="276" w:lineRule="auto"/>
              <w:ind w:left="122"/>
              <w:jc w:val="both"/>
              <w:rPr>
                <w:sz w:val="24"/>
                <w:szCs w:val="24"/>
              </w:rPr>
            </w:pPr>
            <w:r w:rsidRPr="0003484C">
              <w:rPr>
                <w:sz w:val="24"/>
                <w:szCs w:val="24"/>
              </w:rPr>
              <w:t>Peste două treimi din emisiile nete directe de GES din Republica Moldova sunt generate de sectorul energetic al țării. În aceste condi</w:t>
            </w:r>
            <w:r w:rsidRPr="0003484C">
              <w:rPr>
                <w:sz w:val="24"/>
                <w:szCs w:val="24"/>
                <w:lang w:eastAsia="fr-FR"/>
              </w:rPr>
              <w:t>ț</w:t>
            </w:r>
            <w:r w:rsidRPr="0003484C">
              <w:rPr>
                <w:sz w:val="24"/>
                <w:szCs w:val="24"/>
              </w:rPr>
              <w:t>ii, schimb</w:t>
            </w:r>
            <w:r w:rsidRPr="0003484C">
              <w:rPr>
                <w:sz w:val="24"/>
                <w:szCs w:val="24"/>
                <w:lang w:eastAsia="fr-FR"/>
              </w:rPr>
              <w:t>ă</w:t>
            </w:r>
            <w:r w:rsidRPr="0003484C">
              <w:rPr>
                <w:sz w:val="24"/>
                <w:szCs w:val="24"/>
              </w:rPr>
              <w:t xml:space="preserve">rile structurale </w:t>
            </w:r>
            <w:r w:rsidRPr="0003484C">
              <w:rPr>
                <w:sz w:val="24"/>
                <w:szCs w:val="24"/>
                <w:lang w:eastAsia="fr-FR"/>
              </w:rPr>
              <w:t>ș</w:t>
            </w:r>
            <w:r w:rsidRPr="0003484C">
              <w:rPr>
                <w:sz w:val="24"/>
                <w:szCs w:val="24"/>
              </w:rPr>
              <w:t>i de func</w:t>
            </w:r>
            <w:r w:rsidRPr="0003484C">
              <w:rPr>
                <w:sz w:val="24"/>
                <w:szCs w:val="24"/>
                <w:lang w:eastAsia="fr-FR"/>
              </w:rPr>
              <w:t>ț</w:t>
            </w:r>
            <w:r w:rsidRPr="0003484C">
              <w:rPr>
                <w:sz w:val="24"/>
                <w:szCs w:val="24"/>
              </w:rPr>
              <w:t xml:space="preserve">ionare în acest </w:t>
            </w:r>
            <w:r w:rsidRPr="0003484C">
              <w:rPr>
                <w:sz w:val="24"/>
                <w:szCs w:val="24"/>
              </w:rPr>
              <w:lastRenderedPageBreak/>
              <w:t>sector au un poten</w:t>
            </w:r>
            <w:r w:rsidRPr="0003484C">
              <w:rPr>
                <w:sz w:val="24"/>
                <w:szCs w:val="24"/>
                <w:lang w:eastAsia="fr-FR"/>
              </w:rPr>
              <w:t>ț</w:t>
            </w:r>
            <w:r w:rsidRPr="0003484C">
              <w:rPr>
                <w:sz w:val="24"/>
                <w:szCs w:val="24"/>
              </w:rPr>
              <w:t xml:space="preserve">ial deosebit de important de contribuire la reducerea emisiilor de GES </w:t>
            </w:r>
            <w:r w:rsidRPr="0003484C">
              <w:rPr>
                <w:sz w:val="24"/>
                <w:szCs w:val="24"/>
                <w:lang w:eastAsia="fr-FR"/>
              </w:rPr>
              <w:t>ș</w:t>
            </w:r>
            <w:r w:rsidRPr="0003484C">
              <w:rPr>
                <w:sz w:val="24"/>
                <w:szCs w:val="24"/>
              </w:rPr>
              <w:t>i la combaterea schimb</w:t>
            </w:r>
            <w:r w:rsidRPr="0003484C">
              <w:rPr>
                <w:sz w:val="24"/>
                <w:szCs w:val="24"/>
                <w:lang w:eastAsia="fr-FR"/>
              </w:rPr>
              <w:t>ărilor</w:t>
            </w:r>
            <w:r w:rsidRPr="0003484C">
              <w:rPr>
                <w:sz w:val="24"/>
                <w:szCs w:val="24"/>
              </w:rPr>
              <w:t xml:space="preserve"> climatice.</w:t>
            </w:r>
          </w:p>
          <w:p w14:paraId="18BE5796" w14:textId="77777777" w:rsidR="00434A81" w:rsidRPr="00434A81" w:rsidRDefault="00434A81" w:rsidP="00434A81">
            <w:pPr>
              <w:spacing w:after="120" w:line="276" w:lineRule="auto"/>
              <w:ind w:left="122"/>
              <w:jc w:val="both"/>
              <w:rPr>
                <w:sz w:val="24"/>
                <w:szCs w:val="24"/>
                <w:lang w:eastAsia="fr-FR"/>
              </w:rPr>
            </w:pPr>
            <w:r w:rsidRPr="00434A81">
              <w:rPr>
                <w:sz w:val="24"/>
                <w:szCs w:val="24"/>
                <w:lang w:eastAsia="fr-FR"/>
              </w:rPr>
              <w:t xml:space="preserve">Legea nr. 10/2016 cu privire la promovarea energiei din surse regenerabile creează un cadru normativ favorabil generării energiei electrice din surse regenerabile, bazat în principal pe trei tipuri de scheme de ajutor: prețuri fixe pentru unitățile de generare de capacitate înalta (peste un anumit nivel definit în temeiul unei Hotărâri a Guvernului), tarife fixe </w:t>
            </w:r>
            <w:r w:rsidRPr="00434A81">
              <w:rPr>
                <w:i/>
                <w:sz w:val="24"/>
                <w:szCs w:val="24"/>
                <w:lang w:eastAsia="fr-FR"/>
              </w:rPr>
              <w:t>feed-in</w:t>
            </w:r>
            <w:r w:rsidRPr="00434A81">
              <w:rPr>
                <w:sz w:val="24"/>
                <w:szCs w:val="24"/>
                <w:lang w:eastAsia="fr-FR"/>
              </w:rPr>
              <w:t xml:space="preserve"> pentru unitățile cu o capacitate de generare care nu depășește anumite limite dar nu mai mică de 10 kW, și contorizarea consumului net pentru unitățile mici de generare a energiei electrice din surse regenerabile pentru necesitățile proprii ale producătorului (mai puțin de 200 kW).</w:t>
            </w:r>
          </w:p>
          <w:p w14:paraId="5932DA6D" w14:textId="77777777" w:rsidR="00434A81" w:rsidRPr="00434A81" w:rsidRDefault="00434A81" w:rsidP="00434A81">
            <w:pPr>
              <w:spacing w:after="120" w:line="276" w:lineRule="auto"/>
              <w:ind w:left="122"/>
              <w:jc w:val="both"/>
              <w:rPr>
                <w:sz w:val="24"/>
                <w:szCs w:val="24"/>
                <w:lang w:eastAsia="fr-FR"/>
              </w:rPr>
            </w:pPr>
            <w:r w:rsidRPr="00434A81">
              <w:rPr>
                <w:sz w:val="24"/>
                <w:szCs w:val="24"/>
                <w:lang w:eastAsia="fr-FR"/>
              </w:rPr>
              <w:t xml:space="preserve">Consiliul Ministerial al Comunității Energetice a adoptat în decembrie 2022 un amendament la Regulamentul (UE) nr. 2018/1999 privind Guvernanța Uniunii Energetice prin care au fost introduse țintele pentru anul 2030 pentru fiecare parte contractantă. Astfel, conform modelărilor, în cazul scenariului cu măsuri adiționale către anul 2030, în Republica Moldova ponderea energiei din surse regenerabile în energia finală consumată este planificată să crească de la 17% în anul 2020 la (cel puțin) 31,2% în anul 2030. În sub-sectorul generare de energie electrică ponderea de energie din surse regenerabile este planificată să crească de la 3,1% în anul 2020 la 32,8%., Această creștere va fi atinsă ca urmare a creșterii capacităților instalate de energie la 600 MW și a capacităților instalate de energie fotovoltaică la 305 MW către anul 2030. </w:t>
            </w:r>
          </w:p>
          <w:p w14:paraId="392E6339" w14:textId="77777777" w:rsidR="00A94C7A" w:rsidRPr="00D21201" w:rsidRDefault="00A94C7A" w:rsidP="00F366BA">
            <w:pPr>
              <w:spacing w:after="120" w:line="276" w:lineRule="auto"/>
              <w:jc w:val="both"/>
              <w:rPr>
                <w:b/>
                <w:color w:val="000000"/>
                <w:sz w:val="24"/>
                <w:szCs w:val="24"/>
                <w:lang w:eastAsia="fr-FR"/>
              </w:rPr>
            </w:pPr>
            <w:r w:rsidRPr="00D21201">
              <w:rPr>
                <w:b/>
                <w:color w:val="000000"/>
                <w:sz w:val="24"/>
                <w:szCs w:val="24"/>
                <w:lang w:eastAsia="fr-FR"/>
              </w:rPr>
              <w:t>Dimensiunea Cercetare, inovare și competitivitate</w:t>
            </w:r>
          </w:p>
          <w:p w14:paraId="43A1511F" w14:textId="77777777" w:rsidR="00A94C7A" w:rsidRPr="00D21201" w:rsidRDefault="00A94C7A" w:rsidP="00F366BA">
            <w:pPr>
              <w:spacing w:after="120" w:line="276" w:lineRule="auto"/>
              <w:jc w:val="both"/>
              <w:rPr>
                <w:color w:val="000000"/>
                <w:sz w:val="24"/>
                <w:szCs w:val="24"/>
                <w:lang w:eastAsia="fr-FR"/>
              </w:rPr>
            </w:pPr>
            <w:r w:rsidRPr="00D21201">
              <w:rPr>
                <w:color w:val="000000"/>
                <w:sz w:val="24"/>
                <w:szCs w:val="24"/>
                <w:lang w:eastAsia="fr-FR"/>
              </w:rPr>
              <w:t>Funcționarea cadrului instituțional actual al Republicii Moldova în domeniul cercetare, inovare și competitivitate se bazează pe o serie de documente de politici publice care asigură o distribuție clar delimitată a rolurilor și responsabilităților și oferă instrumente pentru punerea în practică a obiectivelor prevăzute în documentele strategice. Programul Național în domeniile Cercetării și Inovării pentru anii 2020 – 2023 a unificat mai multe arii anterior fragmentate și este dotat cu un Plan de acțiuni care definește etapele pentru atingerea obiectivelor stabilite. Programul este aliniat cu obiectivele documentelor de politici publice relevante pentru domeniile educație, întreprinderi mici și mijlocii, și dezvoltare industrială.</w:t>
            </w:r>
          </w:p>
          <w:p w14:paraId="1EB1F17F" w14:textId="77777777" w:rsidR="00A94C7A" w:rsidRPr="00D21201" w:rsidRDefault="00A94C7A" w:rsidP="00F366BA">
            <w:pPr>
              <w:spacing w:after="120" w:line="276" w:lineRule="auto"/>
              <w:jc w:val="both"/>
              <w:rPr>
                <w:color w:val="000000"/>
                <w:sz w:val="24"/>
                <w:szCs w:val="24"/>
              </w:rPr>
            </w:pPr>
            <w:r w:rsidRPr="00D21201">
              <w:rPr>
                <w:color w:val="000000"/>
                <w:sz w:val="24"/>
                <w:szCs w:val="24"/>
              </w:rPr>
              <w:t xml:space="preserve">Sistemul naţional de inovare din Republica Moldova este reglementat de mai multe acte normative (unele dintre acestea fiind abrogate recent, actele normative înlocuitoare fiind în proces de elaborare): </w:t>
            </w:r>
          </w:p>
          <w:p w14:paraId="2B8A69CF" w14:textId="77777777" w:rsidR="00A94C7A" w:rsidRPr="00D21201" w:rsidRDefault="00A94C7A" w:rsidP="00F366BA">
            <w:pPr>
              <w:pStyle w:val="Listparagraf"/>
              <w:numPr>
                <w:ilvl w:val="0"/>
                <w:numId w:val="4"/>
              </w:numPr>
              <w:spacing w:after="120" w:line="276" w:lineRule="auto"/>
              <w:ind w:left="714" w:hanging="357"/>
              <w:jc w:val="both"/>
              <w:rPr>
                <w:rFonts w:ascii="Times New Roman" w:hAnsi="Times New Roman"/>
                <w:color w:val="000000"/>
                <w:sz w:val="24"/>
                <w:szCs w:val="24"/>
              </w:rPr>
            </w:pPr>
            <w:r w:rsidRPr="00D21201">
              <w:rPr>
                <w:rFonts w:ascii="Times New Roman" w:hAnsi="Times New Roman"/>
                <w:color w:val="000000"/>
                <w:sz w:val="24"/>
                <w:szCs w:val="24"/>
              </w:rPr>
              <w:t xml:space="preserve">Codul cu privire la știință şi inovare al Republicii Moldova din anul 2004, actualizat în anul 2018; </w:t>
            </w:r>
          </w:p>
          <w:p w14:paraId="7809E76A" w14:textId="77777777" w:rsidR="00A94C7A" w:rsidRPr="00D21201" w:rsidRDefault="00A94C7A" w:rsidP="00F366BA">
            <w:pPr>
              <w:pStyle w:val="Listparagraf"/>
              <w:numPr>
                <w:ilvl w:val="0"/>
                <w:numId w:val="4"/>
              </w:numPr>
              <w:spacing w:after="120" w:line="276" w:lineRule="auto"/>
              <w:ind w:left="714" w:hanging="357"/>
              <w:jc w:val="both"/>
              <w:rPr>
                <w:rFonts w:ascii="Times New Roman" w:hAnsi="Times New Roman"/>
                <w:color w:val="000000"/>
                <w:sz w:val="24"/>
                <w:szCs w:val="24"/>
              </w:rPr>
            </w:pPr>
            <w:r w:rsidRPr="00D21201">
              <w:rPr>
                <w:rFonts w:ascii="Times New Roman" w:hAnsi="Times New Roman"/>
                <w:color w:val="000000"/>
                <w:sz w:val="24"/>
                <w:szCs w:val="24"/>
              </w:rPr>
              <w:t xml:space="preserve">Codul educației al Republicii Moldova din anul 2014, actualizat în anul 2020; </w:t>
            </w:r>
          </w:p>
          <w:p w14:paraId="2EFFB6B5" w14:textId="77777777" w:rsidR="00A94C7A" w:rsidRPr="00D21201" w:rsidRDefault="00A94C7A" w:rsidP="00F366BA">
            <w:pPr>
              <w:pStyle w:val="Listparagraf"/>
              <w:numPr>
                <w:ilvl w:val="0"/>
                <w:numId w:val="4"/>
              </w:numPr>
              <w:spacing w:after="120" w:line="276" w:lineRule="auto"/>
              <w:ind w:left="714" w:hanging="357"/>
              <w:jc w:val="both"/>
              <w:rPr>
                <w:rFonts w:ascii="Times New Roman" w:hAnsi="Times New Roman"/>
                <w:color w:val="000000"/>
                <w:sz w:val="24"/>
                <w:szCs w:val="24"/>
              </w:rPr>
            </w:pPr>
            <w:r w:rsidRPr="00D21201">
              <w:rPr>
                <w:rFonts w:ascii="Times New Roman" w:hAnsi="Times New Roman"/>
                <w:color w:val="000000"/>
                <w:sz w:val="24"/>
                <w:szCs w:val="24"/>
              </w:rPr>
              <w:t xml:space="preserve">Strategia inovaţională a Republicii Moldova pentru perioada 2013-2020 „Inovaţii pentru competitivitate” din anul 2013, actualizată în 2016 și abrogată în 2019; </w:t>
            </w:r>
          </w:p>
          <w:p w14:paraId="2311187F" w14:textId="77777777" w:rsidR="00A94C7A" w:rsidRPr="00D21201" w:rsidRDefault="00A94C7A" w:rsidP="00F366BA">
            <w:pPr>
              <w:pStyle w:val="Listparagraf"/>
              <w:numPr>
                <w:ilvl w:val="0"/>
                <w:numId w:val="4"/>
              </w:numPr>
              <w:spacing w:after="120" w:line="276" w:lineRule="auto"/>
              <w:ind w:left="714" w:hanging="357"/>
              <w:jc w:val="both"/>
              <w:rPr>
                <w:rFonts w:ascii="Times New Roman" w:hAnsi="Times New Roman"/>
                <w:color w:val="000000"/>
                <w:sz w:val="24"/>
                <w:szCs w:val="24"/>
              </w:rPr>
            </w:pPr>
            <w:r w:rsidRPr="00D21201">
              <w:rPr>
                <w:rFonts w:ascii="Times New Roman" w:hAnsi="Times New Roman"/>
                <w:color w:val="000000"/>
                <w:sz w:val="24"/>
                <w:szCs w:val="24"/>
              </w:rPr>
              <w:t>Strategia de cercetare-dezvoltare a Republicii Moldova până în 2020, din anul 2014, abrogată în 2019;</w:t>
            </w:r>
          </w:p>
          <w:p w14:paraId="61E57256" w14:textId="77777777" w:rsidR="00A94C7A" w:rsidRPr="00D21201" w:rsidRDefault="00A94C7A" w:rsidP="00F366BA">
            <w:pPr>
              <w:pStyle w:val="Listparagraf"/>
              <w:numPr>
                <w:ilvl w:val="0"/>
                <w:numId w:val="4"/>
              </w:numPr>
              <w:spacing w:after="120" w:line="276" w:lineRule="auto"/>
              <w:ind w:left="714" w:hanging="357"/>
              <w:jc w:val="both"/>
              <w:rPr>
                <w:rFonts w:ascii="Times New Roman" w:eastAsia="Times New Roman" w:hAnsi="Times New Roman"/>
                <w:sz w:val="24"/>
                <w:szCs w:val="24"/>
                <w:lang w:eastAsia="ro-RO"/>
              </w:rPr>
            </w:pPr>
            <w:r w:rsidRPr="00D21201">
              <w:rPr>
                <w:rFonts w:ascii="Times New Roman" w:hAnsi="Times New Roman"/>
                <w:color w:val="000000"/>
                <w:sz w:val="24"/>
                <w:szCs w:val="24"/>
              </w:rPr>
              <w:t>Programul Naţional în domeniile Cercetării şi Inovării pentru anii 2020 – 2023 şi Metodologia de finanţare a proiectelor din domeniul cercetării şi inovării</w:t>
            </w:r>
            <w:r w:rsidRPr="00D21201">
              <w:rPr>
                <w:rFonts w:ascii="Times New Roman" w:eastAsia="Times New Roman" w:hAnsi="Times New Roman"/>
                <w:sz w:val="24"/>
                <w:szCs w:val="24"/>
                <w:lang w:eastAsia="ro-RO"/>
              </w:rPr>
              <w:t>.</w:t>
            </w:r>
          </w:p>
          <w:p w14:paraId="3A6041E8" w14:textId="77777777" w:rsidR="00A94C7A" w:rsidRPr="00D21201" w:rsidRDefault="00A94C7A" w:rsidP="00F366BA">
            <w:pPr>
              <w:spacing w:after="120" w:line="276" w:lineRule="auto"/>
              <w:jc w:val="both"/>
              <w:rPr>
                <w:sz w:val="24"/>
                <w:szCs w:val="24"/>
                <w:lang w:eastAsia="ro-RO"/>
              </w:rPr>
            </w:pPr>
            <w:r w:rsidRPr="00D21201">
              <w:rPr>
                <w:color w:val="000000"/>
                <w:sz w:val="24"/>
                <w:szCs w:val="24"/>
              </w:rPr>
              <w:t xml:space="preserve">O vastă reformă a sistemului național de inovare a demarat în anul 2017, când odată cu restructurarea tuturor ministerelor din componența Guvernului Republicii Moldova și cu </w:t>
            </w:r>
            <w:r w:rsidRPr="00D21201">
              <w:rPr>
                <w:color w:val="000000"/>
                <w:sz w:val="24"/>
                <w:szCs w:val="24"/>
              </w:rPr>
              <w:lastRenderedPageBreak/>
              <w:t>realocarea resurselor financiare a fost restructurată întreaga arhitectura a domeniului de cercetare, dezvoltare și inovare. La nivel teoretic, scopul acestui transfer instituțional a fost asigurarea unor modalități mai eficiente de administrare și de finanțare a domeniului cercetării și inovării, activități care sunt puse în responsabilitatea Ministerului Educației și Cercetării (MEC). Drept urmare, în momentul implementării reformei se prevedea o mărire substanțială a alocațiilor pentru finanțarea proiectelor de cercetare. Alte evoluții majore generate de reforma domeniului cercetare, dezvoltare și inovare din ultimii ani s-au referit la:</w:t>
            </w:r>
            <w:r w:rsidRPr="00D21201">
              <w:rPr>
                <w:sz w:val="24"/>
                <w:szCs w:val="24"/>
                <w:lang w:eastAsia="ro-RO"/>
              </w:rPr>
              <w:t xml:space="preserve"> </w:t>
            </w:r>
          </w:p>
          <w:p w14:paraId="19CD3401" w14:textId="77777777" w:rsidR="00A94C7A" w:rsidRPr="00D21201" w:rsidRDefault="00A94C7A" w:rsidP="00A64F7A">
            <w:pPr>
              <w:spacing w:after="120" w:line="276" w:lineRule="auto"/>
              <w:ind w:left="29" w:hanging="29"/>
              <w:jc w:val="both"/>
              <w:rPr>
                <w:color w:val="000000"/>
                <w:sz w:val="24"/>
                <w:szCs w:val="24"/>
              </w:rPr>
            </w:pPr>
            <w:r w:rsidRPr="00D21201">
              <w:rPr>
                <w:color w:val="000000"/>
                <w:sz w:val="24"/>
                <w:szCs w:val="24"/>
              </w:rPr>
              <w:t xml:space="preserve">a) transmiterea elaborării politicilor pentru domeniu de la Academia de Știinţe a Moldovei la organul central de specialitate al statului care asigură elaborarea politicii naţionale în domeniile cercetării şi inovării (MECC); </w:t>
            </w:r>
          </w:p>
          <w:p w14:paraId="7050D238" w14:textId="77777777" w:rsidR="00A94C7A" w:rsidRPr="00D21201" w:rsidRDefault="00A94C7A" w:rsidP="00A64F7A">
            <w:pPr>
              <w:spacing w:after="120" w:line="276" w:lineRule="auto"/>
              <w:ind w:left="29" w:hanging="29"/>
              <w:jc w:val="both"/>
              <w:rPr>
                <w:color w:val="000000"/>
                <w:sz w:val="24"/>
                <w:szCs w:val="24"/>
              </w:rPr>
            </w:pPr>
            <w:r w:rsidRPr="00D21201">
              <w:rPr>
                <w:color w:val="000000"/>
                <w:sz w:val="24"/>
                <w:szCs w:val="24"/>
              </w:rPr>
              <w:t xml:space="preserve">b) crearea Agenției Naționale pentru Cercetare și Dezvoltare (ANCD) conform prevederilor Hotărârii Guvernului nr. 196 din 28.02.2018, ca entitate în subordinea MECC, responsabilă de implementarea politicilor; </w:t>
            </w:r>
          </w:p>
          <w:p w14:paraId="679D8F99" w14:textId="77777777" w:rsidR="00A94C7A" w:rsidRPr="00D21201" w:rsidRDefault="00A94C7A" w:rsidP="00A64F7A">
            <w:pPr>
              <w:spacing w:after="120" w:line="276" w:lineRule="auto"/>
              <w:ind w:left="29" w:hanging="29"/>
              <w:jc w:val="both"/>
              <w:rPr>
                <w:color w:val="000000"/>
                <w:sz w:val="24"/>
                <w:szCs w:val="24"/>
              </w:rPr>
            </w:pPr>
            <w:r w:rsidRPr="00D21201">
              <w:rPr>
                <w:color w:val="000000"/>
                <w:sz w:val="24"/>
                <w:szCs w:val="24"/>
              </w:rPr>
              <w:t xml:space="preserve">c) crearea Agenției Naționale de Asigurare a Calității în Educație și Cercetare (ANACEC), conform prevederilor Hotărârii Guvernului nr. 201 din 28.02.2018; </w:t>
            </w:r>
          </w:p>
          <w:p w14:paraId="229AD818" w14:textId="77777777" w:rsidR="00A94C7A" w:rsidRPr="00D21201" w:rsidRDefault="00A94C7A" w:rsidP="00A64F7A">
            <w:pPr>
              <w:spacing w:after="120" w:line="276" w:lineRule="auto"/>
              <w:ind w:left="29" w:hanging="29"/>
              <w:jc w:val="both"/>
              <w:rPr>
                <w:color w:val="000000"/>
                <w:sz w:val="24"/>
                <w:szCs w:val="24"/>
              </w:rPr>
            </w:pPr>
            <w:r w:rsidRPr="00D21201">
              <w:rPr>
                <w:color w:val="000000"/>
                <w:sz w:val="24"/>
                <w:szCs w:val="24"/>
              </w:rPr>
              <w:t>d) transferul calității de fondator al tuturor organizațiilor de drept public din domeniile cercetării și inovării către organul central de specialitate al statului.</w:t>
            </w:r>
          </w:p>
          <w:p w14:paraId="2960DFB2" w14:textId="77777777" w:rsidR="00A94C7A" w:rsidRPr="00D21201" w:rsidRDefault="00A94C7A" w:rsidP="00F366BA">
            <w:pPr>
              <w:spacing w:after="120" w:line="276" w:lineRule="auto"/>
              <w:jc w:val="both"/>
              <w:rPr>
                <w:sz w:val="24"/>
                <w:szCs w:val="24"/>
              </w:rPr>
            </w:pPr>
            <w:r w:rsidRPr="00D21201">
              <w:rPr>
                <w:color w:val="000000"/>
                <w:sz w:val="24"/>
                <w:szCs w:val="24"/>
              </w:rPr>
              <w:t xml:space="preserve">În procesul de administrare a finanțelor publice alocate domeniului de cercetare-dezvoltare și inovare MEC ține cont de evaluarea instituțiilor operată de ANACEC – instituție cu atribuții extinse în domeniul evaluării și acreditării instituțiilor și a programelor de formare la toate nivelurile. Un element nou în acest sens l-a constituit generalizarea procedurii de finanțare prin concurs a proiectelor de cercetare, în toate domeniile. Concursurile de finanțare prin concurs a proiectelor de cercetare sunt organizate d ANCD. Proporția finanțării instituționale (volumul resurselor financiare alocate din bugetul public național direct instituțiilor din domeniul cercetării-dezvoltării și inovării: instituțiilor de învățământ superior, ministerelor de tutelă, etc.) în domeniul de cercetare-dezvoltare și inovare este în prezent de aproximativ 40%, restul de 60% fiind alocate în bază de mecanisme competitive pentru proiectele de cercetare desemnate învingătoare în concursurile de proiecte științifice. Această modalitate de distribuție a resurselor a diminuat </w:t>
            </w:r>
            <w:r w:rsidRPr="00D21201">
              <w:rPr>
                <w:sz w:val="24"/>
                <w:szCs w:val="24"/>
              </w:rPr>
              <w:t>semnificativ nivelul de predictibilitate a finan</w:t>
            </w:r>
            <w:r w:rsidRPr="00D21201">
              <w:rPr>
                <w:color w:val="000000"/>
                <w:sz w:val="24"/>
                <w:szCs w:val="24"/>
              </w:rPr>
              <w:t>ță</w:t>
            </w:r>
            <w:r w:rsidRPr="00D21201">
              <w:rPr>
                <w:sz w:val="24"/>
                <w:szCs w:val="24"/>
              </w:rPr>
              <w:t>rii disponibile pentru o anumit</w:t>
            </w:r>
            <w:r w:rsidRPr="00D21201">
              <w:rPr>
                <w:color w:val="000000"/>
                <w:sz w:val="24"/>
                <w:szCs w:val="24"/>
              </w:rPr>
              <w:t>ă</w:t>
            </w:r>
            <w:r w:rsidRPr="00D21201">
              <w:rPr>
                <w:sz w:val="24"/>
                <w:szCs w:val="24"/>
              </w:rPr>
              <w:t xml:space="preserve"> perioad</w:t>
            </w:r>
            <w:r w:rsidRPr="00D21201">
              <w:rPr>
                <w:color w:val="000000"/>
                <w:sz w:val="24"/>
                <w:szCs w:val="24"/>
              </w:rPr>
              <w:t>ă</w:t>
            </w:r>
            <w:r w:rsidRPr="00D21201">
              <w:rPr>
                <w:sz w:val="24"/>
                <w:szCs w:val="24"/>
              </w:rPr>
              <w:t>, fapt care a indus o situa</w:t>
            </w:r>
            <w:r w:rsidRPr="00D21201">
              <w:rPr>
                <w:color w:val="000000"/>
                <w:sz w:val="24"/>
                <w:szCs w:val="24"/>
              </w:rPr>
              <w:t>ț</w:t>
            </w:r>
            <w:r w:rsidRPr="00D21201">
              <w:rPr>
                <w:sz w:val="24"/>
                <w:szCs w:val="24"/>
              </w:rPr>
              <w:t>ie de instabilitate în modul de func</w:t>
            </w:r>
            <w:r w:rsidRPr="00D21201">
              <w:rPr>
                <w:color w:val="000000"/>
                <w:sz w:val="24"/>
                <w:szCs w:val="24"/>
              </w:rPr>
              <w:t>ț</w:t>
            </w:r>
            <w:r w:rsidRPr="00D21201">
              <w:rPr>
                <w:sz w:val="24"/>
                <w:szCs w:val="24"/>
              </w:rPr>
              <w:t>ionare al institu</w:t>
            </w:r>
            <w:r w:rsidRPr="00D21201">
              <w:rPr>
                <w:color w:val="000000"/>
                <w:sz w:val="24"/>
                <w:szCs w:val="24"/>
              </w:rPr>
              <w:t>ț</w:t>
            </w:r>
            <w:r w:rsidRPr="00D21201">
              <w:rPr>
                <w:sz w:val="24"/>
                <w:szCs w:val="24"/>
              </w:rPr>
              <w:t xml:space="preserve">iilor </w:t>
            </w:r>
            <w:r w:rsidRPr="00D21201">
              <w:rPr>
                <w:color w:val="000000"/>
                <w:sz w:val="24"/>
                <w:szCs w:val="24"/>
              </w:rPr>
              <w:t>ș</w:t>
            </w:r>
            <w:r w:rsidRPr="00D21201">
              <w:rPr>
                <w:sz w:val="24"/>
                <w:szCs w:val="24"/>
              </w:rPr>
              <w:t>i echipelor de cercetare.</w:t>
            </w:r>
          </w:p>
          <w:p w14:paraId="04727461" w14:textId="77777777" w:rsidR="00A94C7A" w:rsidRPr="00D21201" w:rsidRDefault="00A94C7A" w:rsidP="00F366BA">
            <w:pPr>
              <w:spacing w:after="120" w:line="276" w:lineRule="auto"/>
              <w:jc w:val="both"/>
              <w:rPr>
                <w:color w:val="000000"/>
                <w:sz w:val="24"/>
                <w:szCs w:val="24"/>
              </w:rPr>
            </w:pPr>
            <w:r w:rsidRPr="00D21201">
              <w:rPr>
                <w:color w:val="000000"/>
                <w:sz w:val="24"/>
                <w:szCs w:val="24"/>
              </w:rPr>
              <w:t>În lista domeniilor prioritare finanțate prin intermediul Concursului proiectelor de inovare și transfer tehnologic pentru anul 2021, lansat de ANCD în luna iulie a anului 2020, figurează domeniul „Mediu și schimbări climatice” (Prioritatea III). Proiectele depuse în cadrul celor 5 Direcții strategice din domeniu – printre care se numără Direcția strategică Energie sigură, curată și eficientă – vor recepționa pentru anul 2021 o finanțare totală în volum de 1,92 milioane lei. Concursul suplimentar pentru anul 2021, lansat de ANCD în luna martie a anului 2021, prevede o finanțare a proiectelor din Prioritatea III „Mediu și schimbări climatice” în volum total de 2.52 milioane lei.</w:t>
            </w:r>
          </w:p>
          <w:p w14:paraId="35E75002" w14:textId="77777777" w:rsidR="00A94C7A" w:rsidRPr="00D21201" w:rsidRDefault="00A94C7A" w:rsidP="00F366BA">
            <w:pPr>
              <w:spacing w:after="120" w:line="276" w:lineRule="auto"/>
              <w:jc w:val="both"/>
              <w:rPr>
                <w:color w:val="000000"/>
                <w:sz w:val="24"/>
                <w:szCs w:val="24"/>
              </w:rPr>
            </w:pPr>
            <w:r w:rsidRPr="00D21201">
              <w:rPr>
                <w:color w:val="000000"/>
                <w:sz w:val="24"/>
                <w:szCs w:val="24"/>
              </w:rPr>
              <w:t xml:space="preserve">Reforma din 2017 a apropiat arhitectura instituțională și organizațională a domeniului de cercetare-dezvoltare și inovare de cea a statelor-membre ale Uniunii Europene. Sistemul actual asigură o separare a atribuțiilor privind elaborarea și coordonarea politicii de stat în domeniu, a finanțării instituționale și pe bază de proiecte, a proceselor de evaluare, selectare, supraveghere </w:t>
            </w:r>
            <w:r w:rsidRPr="00D21201">
              <w:rPr>
                <w:color w:val="000000"/>
                <w:sz w:val="24"/>
                <w:szCs w:val="24"/>
              </w:rPr>
              <w:lastRenderedPageBreak/>
              <w:t xml:space="preserve">și monitorizare a cercetării. În teorie, este evitat conflictul de interese generalizat, caracteristic modului precedent de funcționare a domeniului respectiv. În practică, implementarea noilor mecanisme de finanțare a condus la o sporire a gradului de incertitudine cu privire la disponibilitatea, mărimea și durabilitatea resurselor financiare alocate domeniului cercetare și inovare. </w:t>
            </w:r>
          </w:p>
          <w:p w14:paraId="05F51AFF" w14:textId="77777777" w:rsidR="00A94C7A" w:rsidRPr="00D21201" w:rsidRDefault="00A94C7A" w:rsidP="00F366BA">
            <w:pPr>
              <w:spacing w:after="120" w:line="276" w:lineRule="auto"/>
              <w:jc w:val="both"/>
              <w:rPr>
                <w:color w:val="000000"/>
                <w:sz w:val="24"/>
                <w:szCs w:val="24"/>
              </w:rPr>
            </w:pPr>
            <w:r w:rsidRPr="00D21201">
              <w:rPr>
                <w:color w:val="000000"/>
                <w:sz w:val="24"/>
                <w:szCs w:val="24"/>
              </w:rPr>
              <w:t>Legea nr. 226 din 01.11.2018 reglementează procesul de creare și funcționare a parcurilor științifico-tehnologice și a incubatoarelor de inovare. Aceste două tipuri de structuri fac parte din infrastructura de cercetare, dezvoltare și inovare a Republicii Moldova, iar legea sus-menționată a adus modul lor de funcționare în corespundere cu reforma complexă a domeniului, implementată începând cu anul 2017. În sensul Legii citate, parcul ştiinţifico-tehnologic este o „formă de organizare a activităţilor de inovare şi/sau transfer tehnologic ce au loc într-un regim de facilităţi oferite de stat, în care pot fi antrenate organizaţii din sfera cercetare, dezvoltare, inovare şi transfer tehnologic, cu participarea instituţiilor de învățământ superior, a agenţilor economici indiferent de forma lor juridică de organizare, precum şi a persoanelor fizice al căror scop este elaborarea şi/sau fabricarea unor produse inovaţionale, elaborarea şi însuşirea în practică a tehnologiilor şi serviciilor noi sau modernizate mai performante în comparaţie cu cele utilizate în ţară anterior”. Incubatorul de inovare este o „organizaţie din domeniul inovării constituită în baza unui contract de asociere între persoane juridice şi persoane fizice, destinată dezvoltării potenţialului de elaborare şi implementare a inovaţiilor de către întreprinderile mici şi mijlocii, precum şi al cercetătorilor şi inventatorilor particulari a căror activitate se desfăşoară în regim de facilităţi oferite de stat”. Parcul ştiinţifico-tehnologic şi/sau incubatorul de inovare se creează prin decizia Guvernului pentru un termen de funcţionare de cel puțin 10 ani. În prezent în Republica Moldova activează  un parc ştiinţifico-tehnologic şi 8 incubatoare de inovare, având diferite specializări.</w:t>
            </w:r>
          </w:p>
          <w:p w14:paraId="271959F1" w14:textId="77777777" w:rsidR="00A94C7A" w:rsidRPr="00D21201" w:rsidRDefault="00A94C7A" w:rsidP="00F366BA">
            <w:pPr>
              <w:spacing w:after="120" w:line="276" w:lineRule="auto"/>
              <w:jc w:val="both"/>
              <w:rPr>
                <w:color w:val="000000"/>
                <w:sz w:val="24"/>
                <w:szCs w:val="24"/>
              </w:rPr>
            </w:pPr>
            <w:r w:rsidRPr="00D21201">
              <w:rPr>
                <w:color w:val="000000"/>
                <w:sz w:val="24"/>
                <w:szCs w:val="24"/>
              </w:rPr>
              <w:t xml:space="preserve">Din arhitectura sistemului de inovare al Republicii Moldova mai fac parte Agenția de Stat pentru Proprietate Intelectuală (AGEPI) şi </w:t>
            </w:r>
            <w:hyperlink r:id="rId7" w:history="1">
              <w:r w:rsidRPr="00D21201">
                <w:rPr>
                  <w:color w:val="000000"/>
                  <w:sz w:val="24"/>
                  <w:szCs w:val="24"/>
                </w:rPr>
                <w:t xml:space="preserve"> (ODA)</w:t>
              </w:r>
            </w:hyperlink>
            <w:r w:rsidRPr="00D21201">
              <w:rPr>
                <w:color w:val="000000"/>
                <w:sz w:val="24"/>
                <w:szCs w:val="24"/>
              </w:rPr>
              <w:t>.</w:t>
            </w:r>
          </w:p>
          <w:p w14:paraId="129C39F6" w14:textId="77777777" w:rsidR="00A94C7A" w:rsidRPr="00D21201" w:rsidRDefault="00A94C7A" w:rsidP="00F366BA">
            <w:pPr>
              <w:spacing w:after="120" w:line="276" w:lineRule="auto"/>
              <w:jc w:val="both"/>
              <w:rPr>
                <w:color w:val="000000"/>
                <w:sz w:val="24"/>
                <w:szCs w:val="24"/>
              </w:rPr>
            </w:pPr>
            <w:r w:rsidRPr="00D21201">
              <w:rPr>
                <w:color w:val="000000"/>
                <w:sz w:val="24"/>
                <w:szCs w:val="24"/>
              </w:rPr>
              <w:t>Cercetarea-dezvoltarea și inovarea din Republica Moldova continuă să se confrunte cu problema capacităților instituționale și umane extrem de reduse, datorate lipsei endemice de resurse financiare. Ultimele documente de politici publice, elaborate de către noii actori instituționali, lasă se întrevadă o serie de carențe serioase în gestionarea domeniului cercetare-dezvoltare și inovare.</w:t>
            </w:r>
          </w:p>
          <w:p w14:paraId="0E6849D1" w14:textId="77777777" w:rsidR="00A94C7A" w:rsidRPr="00D21201" w:rsidRDefault="00A94C7A" w:rsidP="00F366BA">
            <w:pPr>
              <w:spacing w:after="120" w:line="276" w:lineRule="auto"/>
              <w:jc w:val="both"/>
              <w:rPr>
                <w:b/>
                <w:color w:val="000000"/>
                <w:sz w:val="24"/>
                <w:szCs w:val="24"/>
                <w:lang w:eastAsia="fr-FR"/>
              </w:rPr>
            </w:pPr>
            <w:r w:rsidRPr="00D21201">
              <w:rPr>
                <w:b/>
                <w:color w:val="000000"/>
                <w:sz w:val="24"/>
                <w:szCs w:val="24"/>
                <w:lang w:eastAsia="fr-FR"/>
              </w:rPr>
              <w:t>Baza Analitică</w:t>
            </w:r>
          </w:p>
          <w:p w14:paraId="4F5B8A60" w14:textId="0C5E7B1F" w:rsidR="00A40596" w:rsidRDefault="003D5274" w:rsidP="00F366BA">
            <w:pPr>
              <w:ind w:right="23"/>
              <w:jc w:val="both"/>
              <w:rPr>
                <w:szCs w:val="24"/>
                <w:lang w:eastAsia="fr-FR"/>
              </w:rPr>
            </w:pPr>
            <w:r w:rsidRPr="003D5274">
              <w:rPr>
                <w:sz w:val="24"/>
                <w:szCs w:val="24"/>
                <w:lang w:eastAsia="fr-FR"/>
              </w:rPr>
              <w:t>Baza analitică a Planului Național integrat privind Energia și Clima este construită pe procesarea și analiza unor simulări efectuate în programul de modelizare TIMES (</w:t>
            </w:r>
            <w:r w:rsidRPr="003D5274">
              <w:rPr>
                <w:i/>
                <w:sz w:val="24"/>
                <w:szCs w:val="24"/>
                <w:lang w:eastAsia="fr-FR"/>
              </w:rPr>
              <w:t>The Integrated MARKAL-EFOM System</w:t>
            </w:r>
            <w:r w:rsidRPr="003D5274">
              <w:rPr>
                <w:sz w:val="24"/>
                <w:szCs w:val="24"/>
                <w:lang w:eastAsia="fr-FR"/>
              </w:rPr>
              <w:t xml:space="preserve">). Două scenarii de bază au fost explorate: cu măsuri existente (denumit în limbaj curent și </w:t>
            </w:r>
            <w:r w:rsidRPr="003D5274">
              <w:rPr>
                <w:i/>
                <w:sz w:val="24"/>
                <w:szCs w:val="24"/>
                <w:lang w:eastAsia="fr-FR"/>
              </w:rPr>
              <w:t>„business as usual”</w:t>
            </w:r>
            <w:r w:rsidRPr="003D5274">
              <w:rPr>
                <w:sz w:val="24"/>
                <w:szCs w:val="24"/>
                <w:lang w:eastAsia="fr-FR"/>
              </w:rPr>
              <w:t xml:space="preserve">), și cel cu măsuri adiționale; în fiecare caz au fost studiate câteva versiuni de sub-scenarii pornind de la anumite condiționalități suplimentare setate în programul de simulare. Fiind bazate pe analiza aprofundată a factorilor energetici și de mediu, simulările au fost utilizate pentru evaluarea țintelor în domeniile energiei din surse regenerabile, eficienței energetice și a emisiilor de GES, prin analiza perioadei până în anul 2030 și până în anul 2050. Programul TIMES este un soft de modelizare de tip </w:t>
            </w:r>
            <w:r w:rsidRPr="003D5274">
              <w:rPr>
                <w:i/>
                <w:sz w:val="24"/>
                <w:szCs w:val="24"/>
                <w:lang w:eastAsia="fr-FR"/>
              </w:rPr>
              <w:t>bottom-up</w:t>
            </w:r>
            <w:r w:rsidRPr="003D5274">
              <w:rPr>
                <w:sz w:val="24"/>
                <w:szCs w:val="24"/>
                <w:lang w:eastAsia="fr-FR"/>
              </w:rPr>
              <w:t xml:space="preserve"> care utilizează programarea liniară pentru a genera în mod eficient modele de sisteme energetice pentru orizontul de timp până în anul 2050 reieșind din constrângerile definite de către utilizator. TIMES este utilizat pentru a explora rezultatele generate prin procesarea unor scenarii contrastante</w:t>
            </w:r>
            <w:r>
              <w:rPr>
                <w:szCs w:val="24"/>
                <w:lang w:eastAsia="fr-FR"/>
              </w:rPr>
              <w:t>.</w:t>
            </w:r>
          </w:p>
          <w:p w14:paraId="027FCA38" w14:textId="4F5A6B65" w:rsidR="00802DDC" w:rsidRPr="005C0441" w:rsidRDefault="00802DDC" w:rsidP="00A64F7A">
            <w:pPr>
              <w:tabs>
                <w:tab w:val="left" w:pos="0"/>
              </w:tabs>
              <w:jc w:val="both"/>
              <w:rPr>
                <w:bCs/>
                <w:i/>
                <w:iCs/>
                <w:sz w:val="24"/>
                <w:szCs w:val="24"/>
                <w:u w:val="single"/>
                <w:lang w:eastAsia="uk-UA"/>
              </w:rPr>
            </w:pPr>
            <w:r w:rsidRPr="005C0441">
              <w:rPr>
                <w:bCs/>
                <w:i/>
                <w:iCs/>
                <w:sz w:val="24"/>
                <w:szCs w:val="24"/>
                <w:u w:val="single"/>
                <w:lang w:eastAsia="uk-UA"/>
              </w:rPr>
              <w:lastRenderedPageBreak/>
              <w:t>c) principalele aspecte de protecție a mediului, incluse în proiectul planului sau programului</w:t>
            </w:r>
          </w:p>
          <w:p w14:paraId="3C850093" w14:textId="77777777" w:rsidR="00464C03" w:rsidRPr="00D21201" w:rsidRDefault="00464C03" w:rsidP="00F366BA">
            <w:pPr>
              <w:ind w:left="34" w:right="23"/>
              <w:jc w:val="both"/>
              <w:rPr>
                <w:sz w:val="24"/>
                <w:szCs w:val="24"/>
                <w:highlight w:val="yellow"/>
              </w:rPr>
            </w:pPr>
          </w:p>
          <w:p w14:paraId="5E0615E2" w14:textId="54FCF368" w:rsidR="00464C03" w:rsidRPr="00D21201" w:rsidRDefault="00F6690B" w:rsidP="00F366BA">
            <w:pPr>
              <w:ind w:left="34" w:right="23"/>
              <w:jc w:val="both"/>
              <w:rPr>
                <w:sz w:val="24"/>
                <w:szCs w:val="24"/>
              </w:rPr>
            </w:pPr>
            <w:r w:rsidRPr="00D21201">
              <w:rPr>
                <w:sz w:val="24"/>
                <w:szCs w:val="24"/>
              </w:rPr>
              <w:t xml:space="preserve">Principalele </w:t>
            </w:r>
            <w:r w:rsidR="00FB4AD2" w:rsidRPr="00D21201">
              <w:rPr>
                <w:sz w:val="24"/>
                <w:szCs w:val="24"/>
              </w:rPr>
              <w:t xml:space="preserve">aspecte de mediu care pot suferi un impact de pe urma implementari </w:t>
            </w:r>
            <w:r w:rsidR="00B70944" w:rsidRPr="00D21201">
              <w:rPr>
                <w:sz w:val="24"/>
                <w:szCs w:val="24"/>
              </w:rPr>
              <w:t>PNEC sunt: aerul, clim</w:t>
            </w:r>
            <w:r w:rsidR="00D77CC4" w:rsidRPr="00D21201">
              <w:rPr>
                <w:sz w:val="24"/>
                <w:szCs w:val="24"/>
              </w:rPr>
              <w:t>a,</w:t>
            </w:r>
            <w:r w:rsidR="00B70944" w:rsidRPr="00D21201">
              <w:rPr>
                <w:sz w:val="24"/>
                <w:szCs w:val="24"/>
              </w:rPr>
              <w:t xml:space="preserve"> </w:t>
            </w:r>
            <w:r w:rsidR="00EB408E" w:rsidRPr="00D21201">
              <w:rPr>
                <w:sz w:val="24"/>
                <w:szCs w:val="24"/>
              </w:rPr>
              <w:t>biodiversitate, ap</w:t>
            </w:r>
            <w:r w:rsidR="00D77CC4" w:rsidRPr="00D21201">
              <w:rPr>
                <w:sz w:val="24"/>
                <w:szCs w:val="24"/>
              </w:rPr>
              <w:t>a</w:t>
            </w:r>
            <w:r w:rsidR="00EB408E" w:rsidRPr="00D21201">
              <w:rPr>
                <w:sz w:val="24"/>
                <w:szCs w:val="24"/>
              </w:rPr>
              <w:t>, managementul deșeurilor, peisaj</w:t>
            </w:r>
            <w:r w:rsidR="00F56564" w:rsidRPr="00D21201">
              <w:rPr>
                <w:sz w:val="24"/>
                <w:szCs w:val="24"/>
              </w:rPr>
              <w:t>, sănătatea publică</w:t>
            </w:r>
            <w:r w:rsidR="00D11AB4" w:rsidRPr="00D21201">
              <w:rPr>
                <w:sz w:val="24"/>
                <w:szCs w:val="24"/>
              </w:rPr>
              <w:t xml:space="preserve">, etc. </w:t>
            </w:r>
            <w:r w:rsidR="00D348DD">
              <w:rPr>
                <w:sz w:val="24"/>
                <w:szCs w:val="24"/>
              </w:rPr>
              <w:t>Mai multe d</w:t>
            </w:r>
            <w:r w:rsidR="00D11AB4" w:rsidRPr="00D21201">
              <w:rPr>
                <w:sz w:val="24"/>
                <w:szCs w:val="24"/>
              </w:rPr>
              <w:t xml:space="preserve">etalii referitoate la acestea vor fi </w:t>
            </w:r>
            <w:r w:rsidR="00D348DD">
              <w:rPr>
                <w:sz w:val="24"/>
                <w:szCs w:val="24"/>
              </w:rPr>
              <w:t>incluse</w:t>
            </w:r>
            <w:r w:rsidR="00D11AB4" w:rsidRPr="00D21201">
              <w:rPr>
                <w:sz w:val="24"/>
                <w:szCs w:val="24"/>
              </w:rPr>
              <w:t xml:space="preserve"> în Raportul privind determinarea domeniului de aplicare a ESM.</w:t>
            </w:r>
          </w:p>
          <w:p w14:paraId="5AB16C64" w14:textId="77777777" w:rsidR="00464C03" w:rsidRPr="00D21201" w:rsidRDefault="00464C03" w:rsidP="00F366BA">
            <w:pPr>
              <w:ind w:left="34" w:right="23"/>
              <w:jc w:val="both"/>
              <w:rPr>
                <w:sz w:val="24"/>
                <w:szCs w:val="24"/>
              </w:rPr>
            </w:pPr>
          </w:p>
          <w:p w14:paraId="38DBCC04" w14:textId="0712B20E" w:rsidR="00D00EAC" w:rsidRPr="00D21201" w:rsidRDefault="00D00EAC" w:rsidP="00F366BA">
            <w:pPr>
              <w:ind w:left="34" w:right="23"/>
              <w:jc w:val="both"/>
              <w:rPr>
                <w:sz w:val="24"/>
                <w:szCs w:val="24"/>
              </w:rPr>
            </w:pPr>
            <w:r w:rsidRPr="00D21201">
              <w:rPr>
                <w:sz w:val="24"/>
                <w:szCs w:val="24"/>
              </w:rPr>
              <w:t>Lista def</w:t>
            </w:r>
            <w:r w:rsidR="00D348DD">
              <w:rPr>
                <w:sz w:val="24"/>
                <w:szCs w:val="24"/>
              </w:rPr>
              <w:t>i</w:t>
            </w:r>
            <w:r w:rsidRPr="00D21201">
              <w:rPr>
                <w:sz w:val="24"/>
                <w:szCs w:val="24"/>
              </w:rPr>
              <w:t>nintiva a parților intersate va fi stabilită în Raportul privin</w:t>
            </w:r>
            <w:r w:rsidR="00D11AB4" w:rsidRPr="00D21201">
              <w:rPr>
                <w:sz w:val="24"/>
                <w:szCs w:val="24"/>
              </w:rPr>
              <w:t>d</w:t>
            </w:r>
            <w:r w:rsidRPr="00D21201">
              <w:rPr>
                <w:sz w:val="24"/>
                <w:szCs w:val="24"/>
              </w:rPr>
              <w:t xml:space="preserve"> determinarea domeniului de aplicare a ESM</w:t>
            </w:r>
            <w:r w:rsidR="00DE2A56" w:rsidRPr="00D21201">
              <w:rPr>
                <w:sz w:val="24"/>
                <w:szCs w:val="24"/>
              </w:rPr>
              <w:t>. La moment, tentativ, sunt indetificate urmatoarele părți interesate:</w:t>
            </w:r>
            <w:r w:rsidRPr="00D21201">
              <w:rPr>
                <w:sz w:val="24"/>
                <w:szCs w:val="24"/>
              </w:rPr>
              <w:t xml:space="preserve"> </w:t>
            </w:r>
          </w:p>
          <w:p w14:paraId="63826CB6" w14:textId="77777777" w:rsidR="00555994" w:rsidRPr="00D21201" w:rsidRDefault="00204A2E" w:rsidP="00F366BA">
            <w:pPr>
              <w:ind w:left="34" w:right="23"/>
              <w:jc w:val="both"/>
              <w:rPr>
                <w:sz w:val="24"/>
                <w:szCs w:val="24"/>
              </w:rPr>
            </w:pPr>
            <w:r w:rsidRPr="00D21201">
              <w:rPr>
                <w:sz w:val="24"/>
                <w:szCs w:val="24"/>
              </w:rPr>
              <w:t xml:space="preserve">Autoritățile administrației publice centrale: </w:t>
            </w:r>
            <w:r w:rsidR="00DD41BC" w:rsidRPr="00D21201">
              <w:rPr>
                <w:sz w:val="24"/>
                <w:szCs w:val="24"/>
              </w:rPr>
              <w:t>Ministerul Energiei</w:t>
            </w:r>
            <w:r w:rsidRPr="00D21201">
              <w:rPr>
                <w:sz w:val="24"/>
                <w:szCs w:val="24"/>
              </w:rPr>
              <w:t xml:space="preserve">, </w:t>
            </w:r>
            <w:r w:rsidR="00DD41BC" w:rsidRPr="00D21201">
              <w:rPr>
                <w:sz w:val="24"/>
                <w:szCs w:val="24"/>
              </w:rPr>
              <w:t>Ministerul Mediului</w:t>
            </w:r>
            <w:r w:rsidRPr="00D21201">
              <w:rPr>
                <w:sz w:val="24"/>
                <w:szCs w:val="24"/>
              </w:rPr>
              <w:t xml:space="preserve">, </w:t>
            </w:r>
            <w:r w:rsidR="00DD41BC" w:rsidRPr="00D21201">
              <w:rPr>
                <w:sz w:val="24"/>
                <w:szCs w:val="24"/>
              </w:rPr>
              <w:t>Ministerul Sănăt</w:t>
            </w:r>
            <w:r w:rsidR="00805ADA" w:rsidRPr="00D21201">
              <w:rPr>
                <w:sz w:val="24"/>
                <w:szCs w:val="24"/>
              </w:rPr>
              <w:t>ății</w:t>
            </w:r>
            <w:r w:rsidR="00555994" w:rsidRPr="00D21201">
              <w:rPr>
                <w:sz w:val="24"/>
                <w:szCs w:val="24"/>
              </w:rPr>
              <w:t>.</w:t>
            </w:r>
          </w:p>
          <w:p w14:paraId="56D8BC34" w14:textId="08571D25" w:rsidR="00555994" w:rsidRPr="00D21201" w:rsidRDefault="0056199F" w:rsidP="00F366BA">
            <w:pPr>
              <w:ind w:left="34" w:right="23"/>
              <w:jc w:val="both"/>
              <w:rPr>
                <w:sz w:val="24"/>
                <w:szCs w:val="24"/>
              </w:rPr>
            </w:pPr>
            <w:r w:rsidRPr="00D21201">
              <w:rPr>
                <w:sz w:val="24"/>
                <w:szCs w:val="24"/>
              </w:rPr>
              <w:t xml:space="preserve">Alte institiții și/sau autorități: </w:t>
            </w:r>
            <w:r w:rsidR="00204A2E" w:rsidRPr="00D21201">
              <w:rPr>
                <w:sz w:val="24"/>
                <w:szCs w:val="24"/>
              </w:rPr>
              <w:t xml:space="preserve"> </w:t>
            </w:r>
            <w:r w:rsidRPr="00D21201">
              <w:rPr>
                <w:sz w:val="24"/>
                <w:szCs w:val="24"/>
              </w:rPr>
              <w:t>ANRE, AEE.</w:t>
            </w:r>
          </w:p>
          <w:p w14:paraId="78656E33" w14:textId="3B4DF34D" w:rsidR="00555994" w:rsidRPr="00D21201" w:rsidRDefault="00555994" w:rsidP="00F366BA">
            <w:pPr>
              <w:ind w:left="34" w:right="23"/>
              <w:jc w:val="both"/>
              <w:rPr>
                <w:sz w:val="24"/>
                <w:szCs w:val="24"/>
              </w:rPr>
            </w:pPr>
            <w:r w:rsidRPr="00D21201">
              <w:rPr>
                <w:sz w:val="24"/>
                <w:szCs w:val="24"/>
              </w:rPr>
              <w:t xml:space="preserve">Agenți </w:t>
            </w:r>
            <w:r w:rsidR="001C4B34" w:rsidRPr="00D21201">
              <w:rPr>
                <w:sz w:val="24"/>
                <w:szCs w:val="24"/>
              </w:rPr>
              <w:t>e</w:t>
            </w:r>
            <w:r w:rsidRPr="00D21201">
              <w:rPr>
                <w:sz w:val="24"/>
                <w:szCs w:val="24"/>
              </w:rPr>
              <w:t>c</w:t>
            </w:r>
            <w:r w:rsidR="0056199F" w:rsidRPr="00D21201">
              <w:rPr>
                <w:sz w:val="24"/>
                <w:szCs w:val="24"/>
              </w:rPr>
              <w:t>o</w:t>
            </w:r>
            <w:r w:rsidRPr="00D21201">
              <w:rPr>
                <w:sz w:val="24"/>
                <w:szCs w:val="24"/>
              </w:rPr>
              <w:t>nomici</w:t>
            </w:r>
            <w:r w:rsidR="001C21DB" w:rsidRPr="00D21201">
              <w:rPr>
                <w:sz w:val="24"/>
                <w:szCs w:val="24"/>
              </w:rPr>
              <w:t>,</w:t>
            </w:r>
          </w:p>
          <w:p w14:paraId="78720078" w14:textId="3A5EA9C1" w:rsidR="001C4B34" w:rsidRPr="00D21201" w:rsidRDefault="001C4B34" w:rsidP="00F366BA">
            <w:pPr>
              <w:ind w:left="34" w:right="23"/>
              <w:jc w:val="both"/>
              <w:rPr>
                <w:sz w:val="24"/>
                <w:szCs w:val="24"/>
              </w:rPr>
            </w:pPr>
            <w:r w:rsidRPr="00D21201">
              <w:rPr>
                <w:sz w:val="24"/>
                <w:szCs w:val="24"/>
              </w:rPr>
              <w:t>Asociații obșteșt</w:t>
            </w:r>
            <w:r w:rsidR="00A975FD" w:rsidRPr="00D21201">
              <w:rPr>
                <w:sz w:val="24"/>
                <w:szCs w:val="24"/>
              </w:rPr>
              <w:t>i,</w:t>
            </w:r>
          </w:p>
          <w:p w14:paraId="771EAD90" w14:textId="0112F536" w:rsidR="00A975FD" w:rsidRPr="00D21201" w:rsidRDefault="00A975FD" w:rsidP="00F366BA">
            <w:pPr>
              <w:ind w:left="34" w:right="23"/>
              <w:jc w:val="both"/>
              <w:rPr>
                <w:sz w:val="24"/>
                <w:szCs w:val="24"/>
              </w:rPr>
            </w:pPr>
            <w:r w:rsidRPr="00D21201">
              <w:rPr>
                <w:sz w:val="24"/>
                <w:szCs w:val="24"/>
              </w:rPr>
              <w:t>Sectorul academic,</w:t>
            </w:r>
          </w:p>
          <w:p w14:paraId="4E9D94A7" w14:textId="2132325E" w:rsidR="001C4B34" w:rsidRPr="00D21201" w:rsidRDefault="00A975FD" w:rsidP="00F366BA">
            <w:pPr>
              <w:ind w:left="34" w:right="23"/>
              <w:jc w:val="both"/>
              <w:rPr>
                <w:sz w:val="24"/>
                <w:szCs w:val="24"/>
              </w:rPr>
            </w:pPr>
            <w:r w:rsidRPr="00D21201">
              <w:rPr>
                <w:sz w:val="24"/>
                <w:szCs w:val="24"/>
              </w:rPr>
              <w:t>Soci</w:t>
            </w:r>
            <w:r w:rsidR="001B0458" w:rsidRPr="00D21201">
              <w:rPr>
                <w:sz w:val="24"/>
                <w:szCs w:val="24"/>
              </w:rPr>
              <w:t>e</w:t>
            </w:r>
            <w:r w:rsidRPr="00D21201">
              <w:rPr>
                <w:sz w:val="24"/>
                <w:szCs w:val="24"/>
              </w:rPr>
              <w:t xml:space="preserve">tatea civila. </w:t>
            </w:r>
          </w:p>
          <w:p w14:paraId="587D7025" w14:textId="77777777" w:rsidR="001C21DB" w:rsidRPr="00D21201" w:rsidRDefault="001C21DB" w:rsidP="00F366BA">
            <w:pPr>
              <w:ind w:left="34" w:right="23"/>
              <w:jc w:val="both"/>
              <w:rPr>
                <w:sz w:val="24"/>
                <w:szCs w:val="24"/>
                <w:highlight w:val="yellow"/>
              </w:rPr>
            </w:pPr>
          </w:p>
          <w:p w14:paraId="19D3A6A7" w14:textId="77777777" w:rsidR="00802DDC" w:rsidRPr="009262C5" w:rsidRDefault="00802DDC" w:rsidP="00B77768">
            <w:pPr>
              <w:tabs>
                <w:tab w:val="left" w:pos="0"/>
              </w:tabs>
              <w:jc w:val="both"/>
              <w:rPr>
                <w:bCs/>
                <w:i/>
                <w:iCs/>
                <w:sz w:val="24"/>
                <w:szCs w:val="24"/>
                <w:u w:val="single"/>
                <w:lang w:eastAsia="uk-UA"/>
              </w:rPr>
            </w:pPr>
            <w:r w:rsidRPr="009262C5">
              <w:rPr>
                <w:bCs/>
                <w:i/>
                <w:iCs/>
                <w:sz w:val="24"/>
                <w:szCs w:val="24"/>
                <w:u w:val="single"/>
                <w:lang w:eastAsia="uk-UA"/>
              </w:rPr>
              <w:t>d) principalele direcții şi termenul de implementare;</w:t>
            </w:r>
          </w:p>
          <w:p w14:paraId="67AD1747" w14:textId="1F5E1C12" w:rsidR="00802DDC" w:rsidRPr="00D21201" w:rsidRDefault="00802DDC" w:rsidP="00F366BA">
            <w:pPr>
              <w:ind w:right="23"/>
              <w:jc w:val="both"/>
              <w:rPr>
                <w:sz w:val="24"/>
                <w:szCs w:val="24"/>
              </w:rPr>
            </w:pPr>
          </w:p>
          <w:p w14:paraId="4E1D1DA5" w14:textId="1DD6B8C7" w:rsidR="00BF5650" w:rsidRPr="00D21201" w:rsidRDefault="00BF5650" w:rsidP="00F366BA">
            <w:pPr>
              <w:ind w:right="23"/>
              <w:jc w:val="both"/>
              <w:rPr>
                <w:sz w:val="24"/>
                <w:szCs w:val="24"/>
              </w:rPr>
            </w:pPr>
            <w:r w:rsidRPr="00D21201">
              <w:rPr>
                <w:sz w:val="24"/>
                <w:szCs w:val="24"/>
              </w:rPr>
              <w:t>PNEC</w:t>
            </w:r>
            <w:r w:rsidR="00433FFF" w:rsidRPr="00D21201">
              <w:rPr>
                <w:sz w:val="24"/>
                <w:szCs w:val="24"/>
              </w:rPr>
              <w:t xml:space="preserve"> </w:t>
            </w:r>
            <w:r w:rsidR="002665A2" w:rsidRPr="00D21201">
              <w:rPr>
                <w:sz w:val="24"/>
                <w:szCs w:val="24"/>
              </w:rPr>
              <w:t>va avea perioada de impementare 202</w:t>
            </w:r>
            <w:r w:rsidR="003D5274">
              <w:rPr>
                <w:sz w:val="24"/>
                <w:szCs w:val="24"/>
              </w:rPr>
              <w:t>4</w:t>
            </w:r>
            <w:r w:rsidR="002665A2" w:rsidRPr="00D21201">
              <w:rPr>
                <w:sz w:val="24"/>
                <w:szCs w:val="24"/>
              </w:rPr>
              <w:t>-2030 și</w:t>
            </w:r>
            <w:r w:rsidRPr="00D21201">
              <w:rPr>
                <w:sz w:val="24"/>
                <w:szCs w:val="24"/>
              </w:rPr>
              <w:t xml:space="preserve"> </w:t>
            </w:r>
            <w:r w:rsidR="00FE1BCE" w:rsidRPr="00D21201">
              <w:rPr>
                <w:sz w:val="24"/>
                <w:szCs w:val="24"/>
              </w:rPr>
              <w:t xml:space="preserve">include proiecte și măsuri </w:t>
            </w:r>
            <w:r w:rsidR="0014398E" w:rsidRPr="00D21201">
              <w:rPr>
                <w:sz w:val="24"/>
                <w:szCs w:val="24"/>
              </w:rPr>
              <w:t xml:space="preserve">din </w:t>
            </w:r>
            <w:r w:rsidR="00FE1BCE" w:rsidRPr="00D21201">
              <w:rPr>
                <w:sz w:val="24"/>
                <w:szCs w:val="24"/>
              </w:rPr>
              <w:t xml:space="preserve"> </w:t>
            </w:r>
            <w:r w:rsidRPr="00D21201">
              <w:rPr>
                <w:sz w:val="24"/>
                <w:szCs w:val="24"/>
              </w:rPr>
              <w:t xml:space="preserve"> urmatoarele domenii </w:t>
            </w:r>
            <w:r w:rsidR="00CC6E48" w:rsidRPr="00D21201">
              <w:rPr>
                <w:sz w:val="24"/>
                <w:szCs w:val="24"/>
              </w:rPr>
              <w:t>de aplicare prevazute la art. 3, alin1 al Legii 11/2017</w:t>
            </w:r>
            <w:r w:rsidR="00BC60B4" w:rsidRPr="00D21201">
              <w:rPr>
                <w:sz w:val="24"/>
                <w:szCs w:val="24"/>
              </w:rPr>
              <w:t>:</w:t>
            </w:r>
          </w:p>
          <w:p w14:paraId="7288BE39" w14:textId="6EF993C4" w:rsidR="006B29B6" w:rsidRPr="00D21201" w:rsidRDefault="007A0CE2" w:rsidP="00F366BA">
            <w:pPr>
              <w:pStyle w:val="Listparagraf"/>
              <w:numPr>
                <w:ilvl w:val="0"/>
                <w:numId w:val="3"/>
              </w:numPr>
              <w:ind w:right="23"/>
              <w:jc w:val="both"/>
              <w:rPr>
                <w:rFonts w:ascii="Times New Roman" w:hAnsi="Times New Roman"/>
                <w:sz w:val="24"/>
                <w:szCs w:val="24"/>
              </w:rPr>
            </w:pPr>
            <w:r w:rsidRPr="00D21201">
              <w:rPr>
                <w:rFonts w:ascii="Times New Roman" w:hAnsi="Times New Roman"/>
                <w:sz w:val="24"/>
                <w:szCs w:val="24"/>
              </w:rPr>
              <w:t>E</w:t>
            </w:r>
            <w:r w:rsidR="006B29B6" w:rsidRPr="00D21201">
              <w:rPr>
                <w:rFonts w:ascii="Times New Roman" w:hAnsi="Times New Roman"/>
                <w:sz w:val="24"/>
                <w:szCs w:val="24"/>
              </w:rPr>
              <w:t>nergetic,</w:t>
            </w:r>
          </w:p>
          <w:p w14:paraId="1FA6D7FA" w14:textId="5D6F62AC" w:rsidR="006B29B6" w:rsidRPr="00D21201" w:rsidRDefault="007A0CE2" w:rsidP="00F366BA">
            <w:pPr>
              <w:pStyle w:val="Listparagraf"/>
              <w:numPr>
                <w:ilvl w:val="0"/>
                <w:numId w:val="3"/>
              </w:numPr>
              <w:ind w:right="23"/>
              <w:jc w:val="both"/>
              <w:rPr>
                <w:rFonts w:ascii="Times New Roman" w:hAnsi="Times New Roman"/>
                <w:sz w:val="24"/>
                <w:szCs w:val="24"/>
              </w:rPr>
            </w:pPr>
            <w:r w:rsidRPr="00D21201">
              <w:rPr>
                <w:rFonts w:ascii="Times New Roman" w:hAnsi="Times New Roman"/>
                <w:sz w:val="24"/>
                <w:szCs w:val="24"/>
              </w:rPr>
              <w:t xml:space="preserve">Industrie, </w:t>
            </w:r>
          </w:p>
          <w:p w14:paraId="6E9A5B2D" w14:textId="0E6DA663" w:rsidR="007A0CE2" w:rsidRPr="00D21201" w:rsidRDefault="007A0CE2" w:rsidP="00F366BA">
            <w:pPr>
              <w:pStyle w:val="Listparagraf"/>
              <w:numPr>
                <w:ilvl w:val="0"/>
                <w:numId w:val="3"/>
              </w:numPr>
              <w:ind w:right="23"/>
              <w:jc w:val="both"/>
              <w:rPr>
                <w:rFonts w:ascii="Times New Roman" w:hAnsi="Times New Roman"/>
                <w:sz w:val="24"/>
                <w:szCs w:val="24"/>
              </w:rPr>
            </w:pPr>
            <w:r w:rsidRPr="00D21201">
              <w:rPr>
                <w:rFonts w:ascii="Times New Roman" w:hAnsi="Times New Roman"/>
                <w:sz w:val="24"/>
                <w:szCs w:val="24"/>
              </w:rPr>
              <w:t>Transposrturi,</w:t>
            </w:r>
          </w:p>
          <w:p w14:paraId="3B68FD82" w14:textId="2B0BA7E1" w:rsidR="007A0CE2" w:rsidRPr="00D21201" w:rsidRDefault="007A0CE2" w:rsidP="00F366BA">
            <w:pPr>
              <w:pStyle w:val="Listparagraf"/>
              <w:numPr>
                <w:ilvl w:val="0"/>
                <w:numId w:val="3"/>
              </w:numPr>
              <w:ind w:right="23"/>
              <w:jc w:val="both"/>
              <w:rPr>
                <w:rFonts w:ascii="Times New Roman" w:hAnsi="Times New Roman"/>
                <w:sz w:val="24"/>
                <w:szCs w:val="24"/>
              </w:rPr>
            </w:pPr>
            <w:r w:rsidRPr="00D21201">
              <w:rPr>
                <w:rFonts w:ascii="Times New Roman" w:hAnsi="Times New Roman"/>
                <w:sz w:val="24"/>
                <w:szCs w:val="24"/>
              </w:rPr>
              <w:t>De</w:t>
            </w:r>
            <w:r w:rsidRPr="00D21201">
              <w:rPr>
                <w:rFonts w:ascii="Times New Roman" w:hAnsi="Times New Roman"/>
                <w:sz w:val="24"/>
                <w:szCs w:val="24"/>
                <w:lang w:val="ro-MD"/>
              </w:rPr>
              <w:t>ș</w:t>
            </w:r>
            <w:r w:rsidRPr="00D21201">
              <w:rPr>
                <w:rFonts w:ascii="Times New Roman" w:hAnsi="Times New Roman"/>
                <w:sz w:val="24"/>
                <w:szCs w:val="24"/>
              </w:rPr>
              <w:t xml:space="preserve">euri, </w:t>
            </w:r>
          </w:p>
          <w:p w14:paraId="648345BF" w14:textId="2C4392BF" w:rsidR="007A0CE2" w:rsidRPr="00D21201" w:rsidRDefault="00E77E6E" w:rsidP="00F366BA">
            <w:pPr>
              <w:pStyle w:val="Listparagraf"/>
              <w:numPr>
                <w:ilvl w:val="0"/>
                <w:numId w:val="3"/>
              </w:numPr>
              <w:ind w:right="23"/>
              <w:jc w:val="both"/>
              <w:rPr>
                <w:rFonts w:ascii="Times New Roman" w:hAnsi="Times New Roman"/>
                <w:sz w:val="24"/>
                <w:szCs w:val="24"/>
              </w:rPr>
            </w:pPr>
            <w:r w:rsidRPr="00D21201">
              <w:rPr>
                <w:rFonts w:ascii="Times New Roman" w:hAnsi="Times New Roman"/>
                <w:sz w:val="24"/>
                <w:szCs w:val="24"/>
              </w:rPr>
              <w:t>Ut</w:t>
            </w:r>
            <w:r w:rsidR="00931819" w:rsidRPr="00D21201">
              <w:rPr>
                <w:rFonts w:ascii="Times New Roman" w:hAnsi="Times New Roman"/>
                <w:sz w:val="24"/>
                <w:szCs w:val="24"/>
              </w:rPr>
              <w:t>i</w:t>
            </w:r>
            <w:r w:rsidRPr="00D21201">
              <w:rPr>
                <w:rFonts w:ascii="Times New Roman" w:hAnsi="Times New Roman"/>
                <w:sz w:val="24"/>
                <w:szCs w:val="24"/>
              </w:rPr>
              <w:t xml:space="preserve">lizarea </w:t>
            </w:r>
            <w:r w:rsidR="00D356F1" w:rsidRPr="00D21201">
              <w:rPr>
                <w:rFonts w:ascii="Times New Roman" w:hAnsi="Times New Roman"/>
                <w:sz w:val="24"/>
                <w:szCs w:val="24"/>
              </w:rPr>
              <w:t>T</w:t>
            </w:r>
            <w:r w:rsidRPr="00D21201">
              <w:rPr>
                <w:rFonts w:ascii="Times New Roman" w:hAnsi="Times New Roman"/>
                <w:sz w:val="24"/>
                <w:szCs w:val="24"/>
              </w:rPr>
              <w:t xml:space="preserve">erenurilor, </w:t>
            </w:r>
            <w:r w:rsidR="00237253" w:rsidRPr="00D21201">
              <w:rPr>
                <w:rFonts w:ascii="Times New Roman" w:hAnsi="Times New Roman"/>
                <w:sz w:val="24"/>
                <w:szCs w:val="24"/>
                <w:shd w:val="clear" w:color="auto" w:fill="FFFFFF"/>
              </w:rPr>
              <w:t>Schimbarea Destinației Terenurilor și Silvicultură</w:t>
            </w:r>
            <w:r w:rsidR="00D356F1" w:rsidRPr="00D21201">
              <w:rPr>
                <w:rFonts w:ascii="Times New Roman" w:hAnsi="Times New Roman"/>
                <w:sz w:val="24"/>
                <w:szCs w:val="24"/>
                <w:shd w:val="clear" w:color="auto" w:fill="FFFFFF"/>
              </w:rPr>
              <w:t xml:space="preserve">. </w:t>
            </w:r>
          </w:p>
          <w:p w14:paraId="7662EAFD" w14:textId="3ED49ABC" w:rsidR="00802DDC" w:rsidRPr="009262C5" w:rsidRDefault="00802DDC" w:rsidP="00B77768">
            <w:pPr>
              <w:tabs>
                <w:tab w:val="left" w:pos="0"/>
              </w:tabs>
              <w:jc w:val="both"/>
              <w:rPr>
                <w:bCs/>
                <w:i/>
                <w:iCs/>
                <w:sz w:val="24"/>
                <w:szCs w:val="24"/>
                <w:u w:val="single"/>
                <w:lang w:eastAsia="uk-UA"/>
              </w:rPr>
            </w:pPr>
            <w:r w:rsidRPr="009262C5">
              <w:rPr>
                <w:bCs/>
                <w:i/>
                <w:iCs/>
                <w:sz w:val="24"/>
                <w:szCs w:val="24"/>
                <w:u w:val="single"/>
                <w:lang w:eastAsia="uk-UA"/>
              </w:rPr>
              <w:t>e) existenta unui cadru pentru proiectele şi activitățile enumerate în anexele nr. 1 şi 2 la Legea nr. 86/2014 privind evaluarea impactului asupra mediului şi pentru care este necesară autorizați</w:t>
            </w:r>
            <w:r w:rsidR="006B1444" w:rsidRPr="009262C5">
              <w:rPr>
                <w:bCs/>
                <w:i/>
                <w:iCs/>
                <w:sz w:val="24"/>
                <w:szCs w:val="24"/>
                <w:u w:val="single"/>
                <w:lang w:eastAsia="uk-UA"/>
              </w:rPr>
              <w:t>a</w:t>
            </w:r>
          </w:p>
          <w:p w14:paraId="4150DED1" w14:textId="77777777" w:rsidR="006B1444" w:rsidRPr="009262C5" w:rsidRDefault="006B1444" w:rsidP="00F366BA">
            <w:pPr>
              <w:tabs>
                <w:tab w:val="left" w:pos="0"/>
              </w:tabs>
              <w:ind w:firstLine="360"/>
              <w:jc w:val="both"/>
              <w:rPr>
                <w:bCs/>
                <w:i/>
                <w:iCs/>
                <w:sz w:val="24"/>
                <w:szCs w:val="24"/>
                <w:u w:val="single"/>
                <w:lang w:eastAsia="uk-UA"/>
              </w:rPr>
            </w:pPr>
          </w:p>
          <w:p w14:paraId="7958E8B5" w14:textId="3944435A" w:rsidR="00FD19E6" w:rsidRPr="00D21201" w:rsidRDefault="00FD19E6" w:rsidP="00F366BA">
            <w:pPr>
              <w:ind w:left="-20" w:right="23"/>
              <w:jc w:val="both"/>
              <w:rPr>
                <w:bCs/>
                <w:sz w:val="24"/>
                <w:szCs w:val="24"/>
                <w:lang w:eastAsia="uk-UA"/>
              </w:rPr>
            </w:pPr>
            <w:r w:rsidRPr="00D21201">
              <w:rPr>
                <w:bCs/>
                <w:sz w:val="24"/>
                <w:szCs w:val="24"/>
                <w:lang w:eastAsia="uk-UA"/>
              </w:rPr>
              <w:t>Elaborarea PNEC este stabilit</w:t>
            </w:r>
            <w:r w:rsidR="0049582E" w:rsidRPr="00D21201">
              <w:rPr>
                <w:bCs/>
                <w:sz w:val="24"/>
                <w:szCs w:val="24"/>
                <w:lang w:eastAsia="uk-UA"/>
              </w:rPr>
              <w:t>ă</w:t>
            </w:r>
            <w:r w:rsidRPr="00D21201">
              <w:rPr>
                <w:bCs/>
                <w:sz w:val="24"/>
                <w:szCs w:val="24"/>
                <w:lang w:eastAsia="uk-UA"/>
              </w:rPr>
              <w:t xml:space="preserve"> </w:t>
            </w:r>
            <w:r w:rsidR="006477D1" w:rsidRPr="00D21201">
              <w:rPr>
                <w:bCs/>
                <w:sz w:val="24"/>
                <w:szCs w:val="24"/>
                <w:lang w:eastAsia="uk-UA"/>
              </w:rPr>
              <w:t>î</w:t>
            </w:r>
            <w:r w:rsidRPr="00D21201">
              <w:rPr>
                <w:bCs/>
                <w:sz w:val="24"/>
                <w:szCs w:val="24"/>
                <w:lang w:eastAsia="uk-UA"/>
              </w:rPr>
              <w:t>n programul de activitate a</w:t>
            </w:r>
            <w:r w:rsidR="0049582E" w:rsidRPr="00D21201">
              <w:rPr>
                <w:bCs/>
                <w:sz w:val="24"/>
                <w:szCs w:val="24"/>
                <w:lang w:eastAsia="uk-UA"/>
              </w:rPr>
              <w:t>l</w:t>
            </w:r>
            <w:r w:rsidRPr="00D21201">
              <w:rPr>
                <w:bCs/>
                <w:sz w:val="24"/>
                <w:szCs w:val="24"/>
                <w:lang w:eastAsia="uk-UA"/>
              </w:rPr>
              <w:t xml:space="preserve"> Guvernului </w:t>
            </w:r>
            <w:r w:rsidR="00B050C1" w:rsidRPr="00D21201">
              <w:rPr>
                <w:bCs/>
                <w:sz w:val="24"/>
                <w:szCs w:val="24"/>
                <w:lang w:eastAsia="uk-UA"/>
              </w:rPr>
              <w:t>„Moldova prosper</w:t>
            </w:r>
            <w:r w:rsidR="00B050C1" w:rsidRPr="00D21201">
              <w:rPr>
                <w:bCs/>
                <w:sz w:val="24"/>
                <w:szCs w:val="24"/>
                <w:lang w:val="ro-MD" w:eastAsia="uk-UA"/>
              </w:rPr>
              <w:t xml:space="preserve">ă, </w:t>
            </w:r>
            <w:r w:rsidR="006477D1" w:rsidRPr="00D21201">
              <w:rPr>
                <w:bCs/>
                <w:sz w:val="24"/>
                <w:szCs w:val="24"/>
                <w:lang w:val="ro-MD" w:eastAsia="uk-UA"/>
              </w:rPr>
              <w:t>sigură, europeană</w:t>
            </w:r>
            <w:r w:rsidR="00B050C1" w:rsidRPr="00D21201">
              <w:rPr>
                <w:bCs/>
                <w:sz w:val="24"/>
                <w:szCs w:val="24"/>
                <w:lang w:eastAsia="uk-UA"/>
              </w:rPr>
              <w:t>”</w:t>
            </w:r>
            <w:r w:rsidR="006477D1" w:rsidRPr="00D21201">
              <w:rPr>
                <w:bCs/>
                <w:sz w:val="24"/>
                <w:szCs w:val="24"/>
                <w:lang w:eastAsia="uk-UA"/>
              </w:rPr>
              <w:t xml:space="preserve"> apro</w:t>
            </w:r>
            <w:r w:rsidR="0049582E" w:rsidRPr="00D21201">
              <w:rPr>
                <w:bCs/>
                <w:sz w:val="24"/>
                <w:szCs w:val="24"/>
                <w:lang w:eastAsia="uk-UA"/>
              </w:rPr>
              <w:t>b</w:t>
            </w:r>
            <w:r w:rsidR="006477D1" w:rsidRPr="00D21201">
              <w:rPr>
                <w:bCs/>
                <w:sz w:val="24"/>
                <w:szCs w:val="24"/>
                <w:lang w:eastAsia="uk-UA"/>
              </w:rPr>
              <w:t xml:space="preserve">at prin Hotărîrea Parlamentului nr. 28/2023. </w:t>
            </w:r>
          </w:p>
          <w:p w14:paraId="1F624375" w14:textId="77777777" w:rsidR="0049582E" w:rsidRPr="00D21201" w:rsidRDefault="0049582E" w:rsidP="00F366BA">
            <w:pPr>
              <w:tabs>
                <w:tab w:val="left" w:pos="2184"/>
              </w:tabs>
              <w:ind w:left="-20"/>
              <w:jc w:val="both"/>
              <w:rPr>
                <w:bCs/>
                <w:sz w:val="24"/>
                <w:szCs w:val="24"/>
                <w:lang w:eastAsia="uk-UA"/>
              </w:rPr>
            </w:pPr>
          </w:p>
          <w:p w14:paraId="344868AD" w14:textId="3B702253" w:rsidR="006B1444" w:rsidRPr="00D21201" w:rsidRDefault="006477D1" w:rsidP="00F366BA">
            <w:pPr>
              <w:tabs>
                <w:tab w:val="left" w:pos="2184"/>
              </w:tabs>
              <w:ind w:left="-20"/>
              <w:jc w:val="both"/>
              <w:rPr>
                <w:bCs/>
                <w:sz w:val="24"/>
                <w:szCs w:val="24"/>
              </w:rPr>
            </w:pPr>
            <w:r w:rsidRPr="00D21201">
              <w:rPr>
                <w:bCs/>
                <w:sz w:val="24"/>
                <w:szCs w:val="24"/>
                <w:lang w:eastAsia="uk-UA"/>
              </w:rPr>
              <w:t xml:space="preserve">La fel, Ministerul Energiei este </w:t>
            </w:r>
            <w:r w:rsidR="0049582E" w:rsidRPr="00D21201">
              <w:rPr>
                <w:bCs/>
                <w:sz w:val="24"/>
                <w:szCs w:val="24"/>
                <w:lang w:eastAsia="uk-UA"/>
              </w:rPr>
              <w:t>î</w:t>
            </w:r>
            <w:r w:rsidRPr="00D21201">
              <w:rPr>
                <w:bCs/>
                <w:sz w:val="24"/>
                <w:szCs w:val="24"/>
                <w:lang w:eastAsia="uk-UA"/>
              </w:rPr>
              <w:t>n pr</w:t>
            </w:r>
            <w:r w:rsidR="00807CD5" w:rsidRPr="00D21201">
              <w:rPr>
                <w:bCs/>
                <w:sz w:val="24"/>
                <w:szCs w:val="24"/>
                <w:lang w:eastAsia="uk-UA"/>
              </w:rPr>
              <w:t>o</w:t>
            </w:r>
            <w:r w:rsidRPr="00D21201">
              <w:rPr>
                <w:bCs/>
                <w:sz w:val="24"/>
                <w:szCs w:val="24"/>
                <w:lang w:eastAsia="uk-UA"/>
              </w:rPr>
              <w:t>ces de promovare</w:t>
            </w:r>
            <w:r w:rsidR="00807CD5" w:rsidRPr="00D21201">
              <w:rPr>
                <w:bCs/>
                <w:sz w:val="24"/>
                <w:szCs w:val="24"/>
                <w:lang w:eastAsia="uk-UA"/>
              </w:rPr>
              <w:t xml:space="preserve"> </w:t>
            </w:r>
            <w:r w:rsidRPr="00D21201">
              <w:rPr>
                <w:bCs/>
                <w:sz w:val="24"/>
                <w:szCs w:val="24"/>
                <w:lang w:eastAsia="uk-UA"/>
              </w:rPr>
              <w:t>a modific</w:t>
            </w:r>
            <w:r w:rsidR="0049582E" w:rsidRPr="00D21201">
              <w:rPr>
                <w:bCs/>
                <w:sz w:val="24"/>
                <w:szCs w:val="24"/>
                <w:lang w:eastAsia="uk-UA"/>
              </w:rPr>
              <w:t>ă</w:t>
            </w:r>
            <w:r w:rsidRPr="00D21201">
              <w:rPr>
                <w:bCs/>
                <w:sz w:val="24"/>
                <w:szCs w:val="24"/>
                <w:lang w:eastAsia="uk-UA"/>
              </w:rPr>
              <w:t>rilor la</w:t>
            </w:r>
            <w:r w:rsidR="00D2448E" w:rsidRPr="00D21201">
              <w:rPr>
                <w:bCs/>
                <w:sz w:val="24"/>
                <w:szCs w:val="24"/>
                <w:lang w:eastAsia="uk-UA"/>
              </w:rPr>
              <w:t xml:space="preserve"> Legea 17</w:t>
            </w:r>
            <w:r w:rsidR="00A52C5C" w:rsidRPr="00D21201">
              <w:rPr>
                <w:bCs/>
                <w:sz w:val="24"/>
                <w:szCs w:val="24"/>
                <w:lang w:eastAsia="uk-UA"/>
              </w:rPr>
              <w:t>4</w:t>
            </w:r>
            <w:r w:rsidR="00D2448E" w:rsidRPr="00D21201">
              <w:rPr>
                <w:bCs/>
                <w:sz w:val="24"/>
                <w:szCs w:val="24"/>
                <w:lang w:eastAsia="uk-UA"/>
              </w:rPr>
              <w:t>/2017 cu privire la energetică, prin care este introdusă baza legală pentru elaborare</w:t>
            </w:r>
            <w:r w:rsidR="00714DEB" w:rsidRPr="00D21201">
              <w:rPr>
                <w:bCs/>
                <w:sz w:val="24"/>
                <w:szCs w:val="24"/>
                <w:lang w:eastAsia="uk-UA"/>
              </w:rPr>
              <w:t>a</w:t>
            </w:r>
            <w:r w:rsidR="00D2448E" w:rsidRPr="00D21201">
              <w:rPr>
                <w:bCs/>
                <w:sz w:val="24"/>
                <w:szCs w:val="24"/>
                <w:lang w:eastAsia="uk-UA"/>
              </w:rPr>
              <w:t xml:space="preserve"> PNEC,</w:t>
            </w:r>
            <w:r w:rsidR="005D32DE" w:rsidRPr="00D21201">
              <w:rPr>
                <w:bCs/>
                <w:sz w:val="24"/>
                <w:szCs w:val="24"/>
                <w:lang w:eastAsia="uk-UA"/>
              </w:rPr>
              <w:t xml:space="preserve"> iar procedura de</w:t>
            </w:r>
            <w:r w:rsidR="00A52C5C" w:rsidRPr="00D21201">
              <w:rPr>
                <w:bCs/>
                <w:sz w:val="24"/>
                <w:szCs w:val="24"/>
                <w:lang w:eastAsia="uk-UA"/>
              </w:rPr>
              <w:t xml:space="preserve"> elaborare </w:t>
            </w:r>
            <w:r w:rsidR="004C7679">
              <w:rPr>
                <w:bCs/>
                <w:sz w:val="24"/>
                <w:szCs w:val="24"/>
                <w:lang w:val="ro-MD" w:eastAsia="uk-UA"/>
              </w:rPr>
              <w:t>ș</w:t>
            </w:r>
            <w:r w:rsidR="00A52C5C" w:rsidRPr="00D21201">
              <w:rPr>
                <w:bCs/>
                <w:sz w:val="24"/>
                <w:szCs w:val="24"/>
                <w:lang w:eastAsia="uk-UA"/>
              </w:rPr>
              <w:t>i ra</w:t>
            </w:r>
            <w:r w:rsidR="007E3BC3" w:rsidRPr="00D21201">
              <w:rPr>
                <w:bCs/>
                <w:sz w:val="24"/>
                <w:szCs w:val="24"/>
                <w:lang w:eastAsia="uk-UA"/>
              </w:rPr>
              <w:t>p</w:t>
            </w:r>
            <w:r w:rsidR="00A52C5C" w:rsidRPr="00D21201">
              <w:rPr>
                <w:bCs/>
                <w:sz w:val="24"/>
                <w:szCs w:val="24"/>
                <w:lang w:eastAsia="uk-UA"/>
              </w:rPr>
              <w:t>ortare a implementarii PN</w:t>
            </w:r>
            <w:r w:rsidR="007E3BC3" w:rsidRPr="00D21201">
              <w:rPr>
                <w:bCs/>
                <w:sz w:val="24"/>
                <w:szCs w:val="24"/>
                <w:lang w:eastAsia="uk-UA"/>
              </w:rPr>
              <w:t>EC este stabilit</w:t>
            </w:r>
            <w:r w:rsidR="004C7679">
              <w:rPr>
                <w:bCs/>
                <w:sz w:val="24"/>
                <w:szCs w:val="24"/>
                <w:lang w:eastAsia="uk-UA"/>
              </w:rPr>
              <w:t>ă</w:t>
            </w:r>
            <w:r w:rsidR="007E3BC3" w:rsidRPr="00D21201">
              <w:rPr>
                <w:bCs/>
                <w:sz w:val="24"/>
                <w:szCs w:val="24"/>
                <w:lang w:eastAsia="uk-UA"/>
              </w:rPr>
              <w:t xml:space="preserve"> </w:t>
            </w:r>
            <w:r w:rsidR="00714DEB" w:rsidRPr="00D21201">
              <w:rPr>
                <w:bCs/>
                <w:sz w:val="24"/>
                <w:szCs w:val="24"/>
                <w:lang w:eastAsia="uk-UA"/>
              </w:rPr>
              <w:t>de</w:t>
            </w:r>
            <w:r w:rsidR="007E3BC3" w:rsidRPr="00D21201">
              <w:rPr>
                <w:bCs/>
                <w:sz w:val="24"/>
                <w:szCs w:val="24"/>
                <w:lang w:eastAsia="uk-UA"/>
              </w:rPr>
              <w:t xml:space="preserve"> Regulamentul </w:t>
            </w:r>
            <w:r w:rsidR="006B1444" w:rsidRPr="00D21201">
              <w:rPr>
                <w:bCs/>
                <w:sz w:val="24"/>
                <w:szCs w:val="24"/>
              </w:rPr>
              <w:t xml:space="preserve">privind mecanismul de </w:t>
            </w:r>
            <w:r w:rsidR="006B1444" w:rsidRPr="00D21201">
              <w:rPr>
                <w:bCs/>
                <w:sz w:val="24"/>
                <w:szCs w:val="24"/>
                <w:lang w:val="ro-MD"/>
              </w:rPr>
              <w:t>guvernanță energetică</w:t>
            </w:r>
            <w:r w:rsidR="006B1444" w:rsidRPr="00D21201">
              <w:rPr>
                <w:bCs/>
                <w:sz w:val="24"/>
                <w:szCs w:val="24"/>
              </w:rPr>
              <w:t xml:space="preserve"> și a acțiunilor climatice</w:t>
            </w:r>
            <w:r w:rsidR="00714DEB" w:rsidRPr="00D21201">
              <w:rPr>
                <w:bCs/>
                <w:sz w:val="24"/>
                <w:szCs w:val="24"/>
              </w:rPr>
              <w:t>. Acesta din urmă va fi promovat pentru aprobare după adoptarea</w:t>
            </w:r>
            <w:r w:rsidR="00D313AC" w:rsidRPr="00D21201">
              <w:rPr>
                <w:bCs/>
                <w:sz w:val="24"/>
                <w:szCs w:val="24"/>
              </w:rPr>
              <w:t xml:space="preserve"> de către Parlament a modificărilor la Lega 174/2017. </w:t>
            </w:r>
            <w:r w:rsidR="00714DEB" w:rsidRPr="00D21201">
              <w:rPr>
                <w:bCs/>
                <w:sz w:val="24"/>
                <w:szCs w:val="24"/>
              </w:rPr>
              <w:t xml:space="preserve"> </w:t>
            </w:r>
          </w:p>
          <w:p w14:paraId="4BDDD0D7" w14:textId="0A23A851" w:rsidR="00802DDC" w:rsidRPr="00D21201" w:rsidRDefault="006477D1" w:rsidP="00F366BA">
            <w:pPr>
              <w:ind w:left="-20" w:right="23"/>
              <w:jc w:val="both"/>
              <w:rPr>
                <w:bCs/>
                <w:sz w:val="24"/>
                <w:szCs w:val="24"/>
                <w:lang w:eastAsia="uk-UA"/>
              </w:rPr>
            </w:pPr>
            <w:r w:rsidRPr="00D21201">
              <w:rPr>
                <w:bCs/>
                <w:sz w:val="24"/>
                <w:szCs w:val="24"/>
                <w:lang w:eastAsia="uk-UA"/>
              </w:rPr>
              <w:t xml:space="preserve">  </w:t>
            </w:r>
          </w:p>
          <w:p w14:paraId="17A1955C" w14:textId="43D3B749" w:rsidR="00802DDC" w:rsidRPr="004E779B" w:rsidRDefault="00802DDC" w:rsidP="00B77768">
            <w:pPr>
              <w:tabs>
                <w:tab w:val="left" w:pos="0"/>
              </w:tabs>
              <w:jc w:val="both"/>
              <w:rPr>
                <w:bCs/>
                <w:i/>
                <w:iCs/>
                <w:sz w:val="24"/>
                <w:szCs w:val="24"/>
                <w:lang w:eastAsia="uk-UA"/>
              </w:rPr>
            </w:pPr>
            <w:r w:rsidRPr="004E779B">
              <w:rPr>
                <w:bCs/>
                <w:i/>
                <w:iCs/>
                <w:sz w:val="24"/>
                <w:szCs w:val="24"/>
                <w:u w:val="single"/>
                <w:lang w:eastAsia="uk-UA"/>
              </w:rPr>
              <w:t>g) impactul posibil semnificativ asupra mediului, inclusiv asupra sănătății populației, ca urmare a implementării planului sau programului</w:t>
            </w:r>
          </w:p>
          <w:p w14:paraId="78D4C2CE" w14:textId="77777777" w:rsidR="0097425E" w:rsidRPr="00D21201" w:rsidRDefault="0097425E" w:rsidP="00F366BA">
            <w:pPr>
              <w:jc w:val="both"/>
              <w:rPr>
                <w:sz w:val="24"/>
                <w:szCs w:val="24"/>
              </w:rPr>
            </w:pPr>
          </w:p>
          <w:p w14:paraId="2A8A46F9" w14:textId="2FBE5D0F" w:rsidR="0097425E" w:rsidRPr="00D21201" w:rsidRDefault="009466B0" w:rsidP="00F366BA">
            <w:pPr>
              <w:jc w:val="both"/>
              <w:rPr>
                <w:sz w:val="24"/>
                <w:szCs w:val="24"/>
              </w:rPr>
            </w:pPr>
            <w:r w:rsidRPr="00D21201">
              <w:rPr>
                <w:sz w:val="24"/>
                <w:szCs w:val="24"/>
              </w:rPr>
              <w:t>Potențial, implementarea PNEC va avea un impact pozitiv asup</w:t>
            </w:r>
            <w:r w:rsidR="002E05B6">
              <w:rPr>
                <w:sz w:val="24"/>
                <w:szCs w:val="24"/>
              </w:rPr>
              <w:t>r</w:t>
            </w:r>
            <w:r w:rsidRPr="00D21201">
              <w:rPr>
                <w:sz w:val="24"/>
                <w:szCs w:val="24"/>
              </w:rPr>
              <w:t xml:space="preserve">a factorilor de mediu prin măsurile de reducere </w:t>
            </w:r>
            <w:r w:rsidR="000A74CF" w:rsidRPr="00D21201">
              <w:rPr>
                <w:sz w:val="24"/>
                <w:szCs w:val="24"/>
              </w:rPr>
              <w:t>efectelor schi</w:t>
            </w:r>
            <w:r w:rsidR="002E05B6">
              <w:rPr>
                <w:sz w:val="24"/>
                <w:szCs w:val="24"/>
              </w:rPr>
              <w:t>m</w:t>
            </w:r>
            <w:r w:rsidR="000A74CF" w:rsidRPr="00D21201">
              <w:rPr>
                <w:sz w:val="24"/>
                <w:szCs w:val="24"/>
              </w:rPr>
              <w:t xml:space="preserve">bărilor climatice, inclusiv a </w:t>
            </w:r>
            <w:r w:rsidRPr="00D21201">
              <w:rPr>
                <w:sz w:val="24"/>
                <w:szCs w:val="24"/>
              </w:rPr>
              <w:t>emisiilor de GES</w:t>
            </w:r>
            <w:r w:rsidR="000A74CF" w:rsidRPr="00D21201">
              <w:rPr>
                <w:sz w:val="24"/>
                <w:szCs w:val="24"/>
              </w:rPr>
              <w:t xml:space="preserve">. </w:t>
            </w:r>
          </w:p>
          <w:p w14:paraId="13C3BB0B" w14:textId="1286C6C0" w:rsidR="000A74CF" w:rsidRPr="00D21201" w:rsidRDefault="000A74CF" w:rsidP="00F366BA">
            <w:pPr>
              <w:jc w:val="both"/>
              <w:rPr>
                <w:sz w:val="24"/>
                <w:szCs w:val="24"/>
              </w:rPr>
            </w:pPr>
            <w:r w:rsidRPr="00D21201">
              <w:rPr>
                <w:sz w:val="24"/>
                <w:szCs w:val="24"/>
              </w:rPr>
              <w:t>În acelaș</w:t>
            </w:r>
            <w:r w:rsidR="00E02B63" w:rsidRPr="00D21201">
              <w:rPr>
                <w:sz w:val="24"/>
                <w:szCs w:val="24"/>
              </w:rPr>
              <w:t>i</w:t>
            </w:r>
            <w:r w:rsidRPr="00D21201">
              <w:rPr>
                <w:sz w:val="24"/>
                <w:szCs w:val="24"/>
              </w:rPr>
              <w:t xml:space="preserve"> timp, </w:t>
            </w:r>
            <w:r w:rsidR="00E02B63" w:rsidRPr="00D21201">
              <w:rPr>
                <w:sz w:val="24"/>
                <w:szCs w:val="24"/>
              </w:rPr>
              <w:t xml:space="preserve">implementarea anumitor măsuri </w:t>
            </w:r>
            <w:r w:rsidR="001B6B1C" w:rsidRPr="00D21201">
              <w:rPr>
                <w:sz w:val="24"/>
                <w:szCs w:val="24"/>
              </w:rPr>
              <w:t>și proi</w:t>
            </w:r>
            <w:r w:rsidR="002E05B6">
              <w:rPr>
                <w:sz w:val="24"/>
                <w:szCs w:val="24"/>
              </w:rPr>
              <w:t>e</w:t>
            </w:r>
            <w:r w:rsidR="001B6B1C" w:rsidRPr="00D21201">
              <w:rPr>
                <w:sz w:val="24"/>
                <w:szCs w:val="24"/>
              </w:rPr>
              <w:t>cte din PNEC pot avea impacte potențiale negative asupra factorilor de mediu pe durată scurtă și/sau medie de timp, dat</w:t>
            </w:r>
            <w:r w:rsidR="002E05B6">
              <w:rPr>
                <w:sz w:val="24"/>
                <w:szCs w:val="24"/>
              </w:rPr>
              <w:t>o</w:t>
            </w:r>
            <w:r w:rsidR="001B6B1C" w:rsidRPr="00D21201">
              <w:rPr>
                <w:sz w:val="24"/>
                <w:szCs w:val="24"/>
              </w:rPr>
              <w:t>rită activitățilo</w:t>
            </w:r>
            <w:r w:rsidR="002E05B6">
              <w:rPr>
                <w:sz w:val="24"/>
                <w:szCs w:val="24"/>
              </w:rPr>
              <w:t>r</w:t>
            </w:r>
            <w:r w:rsidR="001B6B1C" w:rsidRPr="00D21201">
              <w:rPr>
                <w:sz w:val="24"/>
                <w:szCs w:val="24"/>
              </w:rPr>
              <w:t xml:space="preserve"> </w:t>
            </w:r>
            <w:r w:rsidR="002E05B6">
              <w:rPr>
                <w:sz w:val="24"/>
                <w:szCs w:val="24"/>
              </w:rPr>
              <w:t>î</w:t>
            </w:r>
            <w:r w:rsidR="001B6B1C" w:rsidRPr="00D21201">
              <w:rPr>
                <w:sz w:val="24"/>
                <w:szCs w:val="24"/>
              </w:rPr>
              <w:t xml:space="preserve">ntreprinse pentru realizarea acestora. În cadrul Raportului de ESM se vor analiza toate potențialele impacturi și, unde este cazul, se vor trasa </w:t>
            </w:r>
            <w:r w:rsidR="00E177EB" w:rsidRPr="00D21201">
              <w:rPr>
                <w:sz w:val="24"/>
                <w:szCs w:val="24"/>
              </w:rPr>
              <w:t xml:space="preserve">măsurile de reducere necesare. </w:t>
            </w:r>
          </w:p>
          <w:p w14:paraId="6072BFF9" w14:textId="0B14A1BF" w:rsidR="00E177EB" w:rsidRPr="009D3198" w:rsidRDefault="00E177EB" w:rsidP="00F366BA">
            <w:pPr>
              <w:jc w:val="both"/>
              <w:rPr>
                <w:i/>
                <w:iCs/>
                <w:sz w:val="24"/>
                <w:szCs w:val="24"/>
              </w:rPr>
            </w:pPr>
            <w:r w:rsidRPr="00D21201">
              <w:rPr>
                <w:sz w:val="24"/>
                <w:szCs w:val="24"/>
              </w:rPr>
              <w:t xml:space="preserve">Aspectele de mediu prioritate considerate </w:t>
            </w:r>
            <w:r w:rsidR="00D21201" w:rsidRPr="00D21201">
              <w:rPr>
                <w:sz w:val="24"/>
                <w:szCs w:val="24"/>
              </w:rPr>
              <w:t>relevante pentru PNEC sunt menționate la</w:t>
            </w:r>
            <w:r w:rsidR="009D3198">
              <w:rPr>
                <w:sz w:val="24"/>
                <w:szCs w:val="24"/>
              </w:rPr>
              <w:t xml:space="preserve"> </w:t>
            </w:r>
            <w:r w:rsidR="009D3198" w:rsidRPr="009D3198">
              <w:rPr>
                <w:i/>
                <w:iCs/>
                <w:sz w:val="24"/>
                <w:szCs w:val="24"/>
              </w:rPr>
              <w:t>pct. 2,</w:t>
            </w:r>
            <w:r w:rsidR="00D21201" w:rsidRPr="009D3198">
              <w:rPr>
                <w:i/>
                <w:iCs/>
                <w:sz w:val="24"/>
                <w:szCs w:val="24"/>
              </w:rPr>
              <w:t xml:space="preserve"> lit. c). </w:t>
            </w:r>
          </w:p>
          <w:p w14:paraId="67A4E040" w14:textId="3D9008CF" w:rsidR="00802DDC" w:rsidRPr="004D2C4D" w:rsidRDefault="00802DDC" w:rsidP="000F20D8">
            <w:pPr>
              <w:tabs>
                <w:tab w:val="left" w:pos="0"/>
              </w:tabs>
              <w:jc w:val="both"/>
              <w:rPr>
                <w:bCs/>
                <w:i/>
                <w:iCs/>
                <w:sz w:val="24"/>
                <w:szCs w:val="24"/>
                <w:u w:val="single"/>
                <w:lang w:eastAsia="uk-UA"/>
              </w:rPr>
            </w:pPr>
            <w:r w:rsidRPr="004D2C4D">
              <w:rPr>
                <w:bCs/>
                <w:i/>
                <w:iCs/>
                <w:sz w:val="24"/>
                <w:szCs w:val="24"/>
                <w:u w:val="single"/>
                <w:lang w:eastAsia="uk-UA"/>
              </w:rPr>
              <w:t>f) termenul de elaborare şi metoda de aprobare a planului sau programului</w:t>
            </w:r>
          </w:p>
          <w:p w14:paraId="527B6EA5" w14:textId="03F1850B" w:rsidR="00D976F4" w:rsidRPr="00D21201" w:rsidRDefault="00123B16" w:rsidP="00F366BA">
            <w:pPr>
              <w:spacing w:after="120"/>
              <w:ind w:left="25" w:right="23"/>
              <w:jc w:val="both"/>
              <w:rPr>
                <w:sz w:val="24"/>
                <w:szCs w:val="24"/>
              </w:rPr>
            </w:pPr>
            <w:r w:rsidRPr="00D21201">
              <w:rPr>
                <w:sz w:val="24"/>
                <w:szCs w:val="24"/>
              </w:rPr>
              <w:lastRenderedPageBreak/>
              <w:t>Elaborarea proiectului PNEC a fost inițiată</w:t>
            </w:r>
            <w:r w:rsidR="004E21DB" w:rsidRPr="00D21201">
              <w:rPr>
                <w:sz w:val="24"/>
                <w:szCs w:val="24"/>
              </w:rPr>
              <w:t xml:space="preserve"> de către Ministerul Energiei </w:t>
            </w:r>
            <w:r w:rsidRPr="00D21201">
              <w:rPr>
                <w:sz w:val="24"/>
                <w:szCs w:val="24"/>
              </w:rPr>
              <w:t xml:space="preserve">în </w:t>
            </w:r>
            <w:r w:rsidR="003E12A3" w:rsidRPr="00D21201">
              <w:rPr>
                <w:sz w:val="24"/>
                <w:szCs w:val="24"/>
              </w:rPr>
              <w:t>o</w:t>
            </w:r>
            <w:r w:rsidRPr="00D21201">
              <w:rPr>
                <w:sz w:val="24"/>
                <w:szCs w:val="24"/>
              </w:rPr>
              <w:t>ctombrie 2022.</w:t>
            </w:r>
            <w:r w:rsidR="004E21DB" w:rsidRPr="00D21201">
              <w:rPr>
                <w:sz w:val="24"/>
                <w:szCs w:val="24"/>
              </w:rPr>
              <w:t xml:space="preserve"> </w:t>
            </w:r>
          </w:p>
          <w:p w14:paraId="6BE4ACF4" w14:textId="354481D7" w:rsidR="00C609B3" w:rsidRPr="00D21201" w:rsidRDefault="00D976F4" w:rsidP="00F366BA">
            <w:pPr>
              <w:spacing w:after="120"/>
              <w:ind w:left="25" w:right="23"/>
              <w:jc w:val="both"/>
              <w:rPr>
                <w:sz w:val="24"/>
                <w:szCs w:val="24"/>
              </w:rPr>
            </w:pPr>
            <w:r w:rsidRPr="00D21201">
              <w:rPr>
                <w:sz w:val="24"/>
                <w:szCs w:val="24"/>
              </w:rPr>
              <w:t>Primul p</w:t>
            </w:r>
            <w:r w:rsidR="008A0F01" w:rsidRPr="00D21201">
              <w:rPr>
                <w:sz w:val="24"/>
                <w:szCs w:val="24"/>
              </w:rPr>
              <w:t>roiect al documentului va fi prezentat la sf</w:t>
            </w:r>
            <w:r w:rsidR="00CE7EBF" w:rsidRPr="00D21201">
              <w:rPr>
                <w:sz w:val="24"/>
                <w:szCs w:val="24"/>
              </w:rPr>
              <w:t>î</w:t>
            </w:r>
            <w:r w:rsidR="008A0F01" w:rsidRPr="00D21201">
              <w:rPr>
                <w:sz w:val="24"/>
                <w:szCs w:val="24"/>
              </w:rPr>
              <w:t>rșitul lunii</w:t>
            </w:r>
            <w:r w:rsidR="00CE7EBF" w:rsidRPr="00D21201">
              <w:rPr>
                <w:sz w:val="24"/>
                <w:szCs w:val="24"/>
              </w:rPr>
              <w:t xml:space="preserve"> </w:t>
            </w:r>
            <w:r w:rsidR="00022BBE">
              <w:rPr>
                <w:sz w:val="24"/>
                <w:szCs w:val="24"/>
              </w:rPr>
              <w:t>iulie</w:t>
            </w:r>
            <w:r w:rsidR="00CE7EBF" w:rsidRPr="00D21201">
              <w:rPr>
                <w:sz w:val="24"/>
                <w:szCs w:val="24"/>
              </w:rPr>
              <w:t xml:space="preserve"> 2023</w:t>
            </w:r>
            <w:r w:rsidR="009B6A60" w:rsidRPr="00D21201">
              <w:rPr>
                <w:sz w:val="24"/>
                <w:szCs w:val="24"/>
              </w:rPr>
              <w:t xml:space="preserve">, iar </w:t>
            </w:r>
            <w:r w:rsidR="003E12A3" w:rsidRPr="00D21201">
              <w:rPr>
                <w:sz w:val="24"/>
                <w:szCs w:val="24"/>
              </w:rPr>
              <w:t>î</w:t>
            </w:r>
            <w:r w:rsidR="009B6A60" w:rsidRPr="00D21201">
              <w:rPr>
                <w:sz w:val="24"/>
                <w:szCs w:val="24"/>
              </w:rPr>
              <w:t>n perioada</w:t>
            </w:r>
            <w:r w:rsidR="00A916B9" w:rsidRPr="00D21201">
              <w:rPr>
                <w:sz w:val="24"/>
                <w:szCs w:val="24"/>
              </w:rPr>
              <w:t xml:space="preserve"> imediat</w:t>
            </w:r>
            <w:r w:rsidR="009B6A60" w:rsidRPr="00D21201">
              <w:rPr>
                <w:sz w:val="24"/>
                <w:szCs w:val="24"/>
              </w:rPr>
              <w:t xml:space="preserve"> urmatoare va fi supus consult</w:t>
            </w:r>
            <w:r w:rsidR="00A916B9" w:rsidRPr="00D21201">
              <w:rPr>
                <w:sz w:val="24"/>
                <w:szCs w:val="24"/>
              </w:rPr>
              <w:t>ă</w:t>
            </w:r>
            <w:r w:rsidR="009B6A60" w:rsidRPr="00D21201">
              <w:rPr>
                <w:sz w:val="24"/>
                <w:szCs w:val="24"/>
              </w:rPr>
              <w:t>rilor publice</w:t>
            </w:r>
            <w:r w:rsidR="00B338E3" w:rsidRPr="00D21201">
              <w:rPr>
                <w:sz w:val="24"/>
                <w:szCs w:val="24"/>
              </w:rPr>
              <w:t>. În paralel</w:t>
            </w:r>
            <w:r w:rsidR="003E12A3" w:rsidRPr="00D21201">
              <w:rPr>
                <w:sz w:val="24"/>
                <w:szCs w:val="24"/>
              </w:rPr>
              <w:t>,</w:t>
            </w:r>
            <w:r w:rsidR="00B338E3" w:rsidRPr="00D21201">
              <w:rPr>
                <w:sz w:val="24"/>
                <w:szCs w:val="24"/>
              </w:rPr>
              <w:t xml:space="preserve"> pro</w:t>
            </w:r>
            <w:r w:rsidR="004345F0" w:rsidRPr="00D21201">
              <w:rPr>
                <w:sz w:val="24"/>
                <w:szCs w:val="24"/>
              </w:rPr>
              <w:t>i</w:t>
            </w:r>
            <w:r w:rsidR="00B338E3" w:rsidRPr="00D21201">
              <w:rPr>
                <w:sz w:val="24"/>
                <w:szCs w:val="24"/>
              </w:rPr>
              <w:t>ectul PNEC va fi revi</w:t>
            </w:r>
            <w:r w:rsidR="004345F0" w:rsidRPr="00D21201">
              <w:rPr>
                <w:sz w:val="24"/>
                <w:szCs w:val="24"/>
              </w:rPr>
              <w:t>z</w:t>
            </w:r>
            <w:r w:rsidR="00B338E3" w:rsidRPr="00D21201">
              <w:rPr>
                <w:sz w:val="24"/>
                <w:szCs w:val="24"/>
              </w:rPr>
              <w:t>uit de către</w:t>
            </w:r>
            <w:r w:rsidR="009B6A60" w:rsidRPr="00D21201">
              <w:rPr>
                <w:sz w:val="24"/>
                <w:szCs w:val="24"/>
              </w:rPr>
              <w:t xml:space="preserve"> </w:t>
            </w:r>
            <w:r w:rsidR="000A5590" w:rsidRPr="00D21201">
              <w:rPr>
                <w:sz w:val="24"/>
                <w:szCs w:val="24"/>
              </w:rPr>
              <w:t>Secretariatul Comunității Energ</w:t>
            </w:r>
            <w:r w:rsidR="00A91D03">
              <w:rPr>
                <w:sz w:val="24"/>
                <w:szCs w:val="24"/>
              </w:rPr>
              <w:t>i</w:t>
            </w:r>
            <w:r w:rsidR="000A5590" w:rsidRPr="00D21201">
              <w:rPr>
                <w:sz w:val="24"/>
                <w:szCs w:val="24"/>
              </w:rPr>
              <w:t>etice</w:t>
            </w:r>
            <w:r w:rsidR="00C609B3" w:rsidRPr="00D21201">
              <w:rPr>
                <w:sz w:val="24"/>
                <w:szCs w:val="24"/>
              </w:rPr>
              <w:t>, acesta fii</w:t>
            </w:r>
            <w:r w:rsidR="00461A82" w:rsidRPr="00D21201">
              <w:rPr>
                <w:sz w:val="24"/>
                <w:szCs w:val="24"/>
              </w:rPr>
              <w:t>n</w:t>
            </w:r>
            <w:r w:rsidR="00C609B3" w:rsidRPr="00D21201">
              <w:rPr>
                <w:sz w:val="24"/>
                <w:szCs w:val="24"/>
              </w:rPr>
              <w:t>d o etap</w:t>
            </w:r>
            <w:r w:rsidR="004D2C4D">
              <w:rPr>
                <w:sz w:val="24"/>
                <w:szCs w:val="24"/>
              </w:rPr>
              <w:t>ă</w:t>
            </w:r>
            <w:r w:rsidR="00C609B3" w:rsidRPr="00D21201">
              <w:rPr>
                <w:sz w:val="24"/>
                <w:szCs w:val="24"/>
              </w:rPr>
              <w:t xml:space="preserve"> obligatorie </w:t>
            </w:r>
            <w:r w:rsidR="003E12A3" w:rsidRPr="00D21201">
              <w:rPr>
                <w:sz w:val="24"/>
                <w:szCs w:val="24"/>
              </w:rPr>
              <w:t>î</w:t>
            </w:r>
            <w:r w:rsidR="00C609B3" w:rsidRPr="00D21201">
              <w:rPr>
                <w:sz w:val="24"/>
                <w:szCs w:val="24"/>
              </w:rPr>
              <w:t xml:space="preserve">n procesul de elaborare și aprobare a PNEC. </w:t>
            </w:r>
          </w:p>
          <w:p w14:paraId="54431269" w14:textId="77777777" w:rsidR="00B37C10" w:rsidRPr="00D21201" w:rsidRDefault="004345F0" w:rsidP="00F366BA">
            <w:pPr>
              <w:spacing w:after="120"/>
              <w:ind w:left="25" w:right="23"/>
              <w:jc w:val="both"/>
              <w:rPr>
                <w:sz w:val="24"/>
                <w:szCs w:val="24"/>
              </w:rPr>
            </w:pPr>
            <w:r w:rsidRPr="00D21201">
              <w:rPr>
                <w:sz w:val="24"/>
                <w:szCs w:val="24"/>
              </w:rPr>
              <w:t xml:space="preserve">După </w:t>
            </w:r>
            <w:r w:rsidR="005C5C32" w:rsidRPr="00D21201">
              <w:rPr>
                <w:sz w:val="24"/>
                <w:szCs w:val="24"/>
              </w:rPr>
              <w:t>compilarea documentului</w:t>
            </w:r>
            <w:r w:rsidR="003E12A3" w:rsidRPr="00D21201">
              <w:rPr>
                <w:sz w:val="24"/>
                <w:szCs w:val="24"/>
              </w:rPr>
              <w:t xml:space="preserve"> în baza </w:t>
            </w:r>
            <w:r w:rsidR="00546DD5" w:rsidRPr="00D21201">
              <w:rPr>
                <w:sz w:val="24"/>
                <w:szCs w:val="24"/>
              </w:rPr>
              <w:t xml:space="preserve">propunerilor și obiecțiilor tuturor părților interesate, acesta va fi </w:t>
            </w:r>
            <w:r w:rsidR="00B37C10" w:rsidRPr="00D21201">
              <w:rPr>
                <w:sz w:val="24"/>
                <w:szCs w:val="24"/>
              </w:rPr>
              <w:t xml:space="preserve">supus procedurii oficiale de promovare spre aprobare de către Guvern. </w:t>
            </w:r>
          </w:p>
          <w:p w14:paraId="3B3BD343" w14:textId="0CC6ACF1" w:rsidR="00802DDC" w:rsidRPr="00D21201" w:rsidRDefault="00050DA2" w:rsidP="00F366BA">
            <w:pPr>
              <w:spacing w:after="120"/>
              <w:ind w:left="25" w:right="23"/>
              <w:jc w:val="both"/>
              <w:rPr>
                <w:sz w:val="24"/>
                <w:szCs w:val="24"/>
              </w:rPr>
            </w:pPr>
            <w:r w:rsidRPr="00D21201">
              <w:rPr>
                <w:sz w:val="24"/>
                <w:szCs w:val="24"/>
              </w:rPr>
              <w:t xml:space="preserve">Este de menționat că PNEC va </w:t>
            </w:r>
            <w:r w:rsidR="007C1C1C" w:rsidRPr="00D21201">
              <w:rPr>
                <w:sz w:val="24"/>
                <w:szCs w:val="24"/>
              </w:rPr>
              <w:t xml:space="preserve">planifica implementarea anumitor activități </w:t>
            </w:r>
            <w:r w:rsidR="00DE6611" w:rsidRPr="00D21201">
              <w:rPr>
                <w:sz w:val="24"/>
                <w:szCs w:val="24"/>
              </w:rPr>
              <w:t>care au caracter transfrontalier</w:t>
            </w:r>
            <w:r w:rsidR="00A24EE9" w:rsidRPr="00D21201">
              <w:rPr>
                <w:sz w:val="24"/>
                <w:szCs w:val="24"/>
              </w:rPr>
              <w:t xml:space="preserve"> (</w:t>
            </w:r>
            <w:r w:rsidR="00635E97" w:rsidRPr="00D21201">
              <w:rPr>
                <w:sz w:val="24"/>
                <w:szCs w:val="24"/>
              </w:rPr>
              <w:t xml:space="preserve">proiecte comune cu </w:t>
            </w:r>
            <w:r w:rsidR="00A24EE9" w:rsidRPr="00D21201">
              <w:rPr>
                <w:sz w:val="24"/>
                <w:szCs w:val="24"/>
              </w:rPr>
              <w:t>Rom</w:t>
            </w:r>
            <w:r w:rsidR="00635E97" w:rsidRPr="00D21201">
              <w:rPr>
                <w:sz w:val="24"/>
                <w:szCs w:val="24"/>
              </w:rPr>
              <w:t>ânia și Ucraina</w:t>
            </w:r>
            <w:r w:rsidR="005218EA" w:rsidRPr="00D21201">
              <w:rPr>
                <w:sz w:val="24"/>
                <w:szCs w:val="24"/>
              </w:rPr>
              <w:t xml:space="preserve"> a</w:t>
            </w:r>
            <w:r w:rsidR="00B62F63" w:rsidRPr="00D21201">
              <w:rPr>
                <w:sz w:val="24"/>
                <w:szCs w:val="24"/>
              </w:rPr>
              <w:t>ș</w:t>
            </w:r>
            <w:r w:rsidR="005218EA" w:rsidRPr="00D21201">
              <w:rPr>
                <w:sz w:val="24"/>
                <w:szCs w:val="24"/>
              </w:rPr>
              <w:t>a cum sunt menționate la</w:t>
            </w:r>
            <w:r w:rsidR="009D3198">
              <w:rPr>
                <w:sz w:val="24"/>
                <w:szCs w:val="24"/>
              </w:rPr>
              <w:t xml:space="preserve"> </w:t>
            </w:r>
            <w:r w:rsidR="009D3198" w:rsidRPr="009D3198">
              <w:rPr>
                <w:i/>
                <w:iCs/>
                <w:sz w:val="24"/>
                <w:szCs w:val="24"/>
              </w:rPr>
              <w:t>pct.2,</w:t>
            </w:r>
            <w:r w:rsidR="005218EA" w:rsidRPr="00D21201">
              <w:rPr>
                <w:sz w:val="24"/>
                <w:szCs w:val="24"/>
              </w:rPr>
              <w:t xml:space="preserve"> </w:t>
            </w:r>
            <w:r w:rsidR="005A577C" w:rsidRPr="009D3198">
              <w:rPr>
                <w:i/>
                <w:iCs/>
                <w:sz w:val="24"/>
                <w:szCs w:val="24"/>
              </w:rPr>
              <w:t>lit. b)</w:t>
            </w:r>
            <w:r w:rsidR="002E1121" w:rsidRPr="009D3198">
              <w:rPr>
                <w:i/>
                <w:iCs/>
                <w:sz w:val="24"/>
                <w:szCs w:val="24"/>
              </w:rPr>
              <w:t>,</w:t>
            </w:r>
            <w:r w:rsidR="002E1121" w:rsidRPr="00D21201">
              <w:rPr>
                <w:sz w:val="24"/>
                <w:szCs w:val="24"/>
              </w:rPr>
              <w:t xml:space="preserve"> </w:t>
            </w:r>
            <w:r w:rsidR="0064574F" w:rsidRPr="00D21201">
              <w:rPr>
                <w:sz w:val="24"/>
                <w:szCs w:val="24"/>
              </w:rPr>
              <w:t xml:space="preserve">aspect care trebuie luat în considerație la </w:t>
            </w:r>
            <w:r w:rsidR="001B7CD0" w:rsidRPr="00D21201">
              <w:rPr>
                <w:color w:val="000000"/>
                <w:sz w:val="24"/>
                <w:szCs w:val="24"/>
              </w:rPr>
              <w:t>determinarea necesității efectuării evaluării strategice de mediu</w:t>
            </w:r>
            <w:r w:rsidR="00180C92" w:rsidRPr="00D21201">
              <w:rPr>
                <w:color w:val="000000"/>
                <w:sz w:val="24"/>
                <w:szCs w:val="24"/>
              </w:rPr>
              <w:t xml:space="preserve">, dar și </w:t>
            </w:r>
            <w:r w:rsidR="00180C92" w:rsidRPr="00EA5763">
              <w:rPr>
                <w:sz w:val="24"/>
                <w:szCs w:val="24"/>
              </w:rPr>
              <w:t xml:space="preserve">la </w:t>
            </w:r>
            <w:r w:rsidR="00A17F33" w:rsidRPr="00EA5763">
              <w:rPr>
                <w:sz w:val="24"/>
                <w:szCs w:val="24"/>
                <w:shd w:val="clear" w:color="auto" w:fill="FFFFFF"/>
              </w:rPr>
              <w:t>determinarea domeniului de aplicare a </w:t>
            </w:r>
            <w:r w:rsidR="008C7583">
              <w:rPr>
                <w:sz w:val="24"/>
                <w:szCs w:val="24"/>
                <w:shd w:val="clear" w:color="auto" w:fill="FFFFFF"/>
              </w:rPr>
              <w:t>R</w:t>
            </w:r>
            <w:r w:rsidR="00A17F33" w:rsidRPr="00EA5763">
              <w:rPr>
                <w:sz w:val="24"/>
                <w:szCs w:val="24"/>
                <w:shd w:val="clear" w:color="auto" w:fill="FFFFFF"/>
              </w:rPr>
              <w:t xml:space="preserve">aportului privind </w:t>
            </w:r>
            <w:r w:rsidR="008C7583">
              <w:rPr>
                <w:sz w:val="24"/>
                <w:szCs w:val="24"/>
                <w:shd w:val="clear" w:color="auto" w:fill="FFFFFF"/>
              </w:rPr>
              <w:t>ESM</w:t>
            </w:r>
            <w:r w:rsidR="00A17F33" w:rsidRPr="00EA5763">
              <w:rPr>
                <w:sz w:val="24"/>
                <w:szCs w:val="24"/>
              </w:rPr>
              <w:t xml:space="preserve"> </w:t>
            </w:r>
            <w:r w:rsidR="00850947" w:rsidRPr="00EA5763">
              <w:rPr>
                <w:sz w:val="24"/>
                <w:szCs w:val="24"/>
              </w:rPr>
              <w:t xml:space="preserve">și la procedura de consultare </w:t>
            </w:r>
            <w:r w:rsidR="00850947" w:rsidRPr="00D21201">
              <w:rPr>
                <w:color w:val="000000"/>
                <w:sz w:val="24"/>
                <w:szCs w:val="24"/>
              </w:rPr>
              <w:t>a R</w:t>
            </w:r>
            <w:r w:rsidR="009B67ED">
              <w:rPr>
                <w:color w:val="000000"/>
                <w:sz w:val="24"/>
                <w:szCs w:val="24"/>
              </w:rPr>
              <w:t>a</w:t>
            </w:r>
            <w:r w:rsidR="00850947" w:rsidRPr="00D21201">
              <w:rPr>
                <w:color w:val="000000"/>
                <w:sz w:val="24"/>
                <w:szCs w:val="24"/>
              </w:rPr>
              <w:t xml:space="preserve">portului de ESM. </w:t>
            </w:r>
          </w:p>
          <w:p w14:paraId="01248D48" w14:textId="2D76826B" w:rsidR="00802DDC" w:rsidRPr="00D21201" w:rsidRDefault="00802DDC" w:rsidP="000F20D8">
            <w:pPr>
              <w:jc w:val="both"/>
              <w:rPr>
                <w:b/>
                <w:bCs/>
                <w:sz w:val="24"/>
                <w:szCs w:val="24"/>
                <w:lang w:eastAsia="uk-UA"/>
              </w:rPr>
            </w:pPr>
            <w:r w:rsidRPr="00D21201">
              <w:rPr>
                <w:b/>
                <w:bCs/>
                <w:sz w:val="24"/>
                <w:szCs w:val="24"/>
                <w:lang w:eastAsia="uk-UA"/>
              </w:rPr>
              <w:t>3) informaţii privind teritoriul afectat:</w:t>
            </w:r>
          </w:p>
          <w:p w14:paraId="724CB1C2" w14:textId="1E5D0785" w:rsidR="00802DDC" w:rsidRPr="00D21201" w:rsidRDefault="00802DDC" w:rsidP="000F20D8">
            <w:pPr>
              <w:ind w:right="23"/>
              <w:jc w:val="both"/>
              <w:rPr>
                <w:sz w:val="24"/>
                <w:szCs w:val="24"/>
                <w:u w:val="single"/>
              </w:rPr>
            </w:pPr>
            <w:r w:rsidRPr="008C7583">
              <w:rPr>
                <w:bCs/>
                <w:i/>
                <w:iCs/>
                <w:sz w:val="24"/>
                <w:szCs w:val="24"/>
                <w:u w:val="single"/>
                <w:lang w:eastAsia="uk-UA"/>
              </w:rPr>
              <w:t>a) stabilirea teritoriului afectat</w:t>
            </w:r>
          </w:p>
          <w:p w14:paraId="5AC805C3" w14:textId="77777777" w:rsidR="00965DE3" w:rsidRPr="00D21201" w:rsidRDefault="00965DE3" w:rsidP="00F366BA">
            <w:pPr>
              <w:jc w:val="both"/>
              <w:rPr>
                <w:sz w:val="24"/>
                <w:szCs w:val="24"/>
              </w:rPr>
            </w:pPr>
          </w:p>
          <w:p w14:paraId="35465488" w14:textId="28597F04" w:rsidR="004B7F82" w:rsidRDefault="00294454" w:rsidP="00F366BA">
            <w:pPr>
              <w:spacing w:after="120"/>
              <w:ind w:right="23"/>
              <w:jc w:val="both"/>
              <w:rPr>
                <w:sz w:val="24"/>
                <w:szCs w:val="24"/>
              </w:rPr>
            </w:pPr>
            <w:r w:rsidRPr="00294454">
              <w:rPr>
                <w:sz w:val="24"/>
                <w:szCs w:val="24"/>
              </w:rPr>
              <w:t>Aria de implementare pentru PNEC cuprinde tot teritoriul Republicii Moldova</w:t>
            </w:r>
            <w:r w:rsidR="00E12A7A">
              <w:rPr>
                <w:sz w:val="24"/>
                <w:szCs w:val="24"/>
              </w:rPr>
              <w:t>, acesta avînd o</w:t>
            </w:r>
            <w:r w:rsidR="00611C8F" w:rsidRPr="00294454">
              <w:rPr>
                <w:sz w:val="24"/>
                <w:szCs w:val="24"/>
              </w:rPr>
              <w:t xml:space="preserve"> </w:t>
            </w:r>
            <w:r w:rsidR="00E12A7A" w:rsidRPr="00294454">
              <w:rPr>
                <w:sz w:val="24"/>
                <w:szCs w:val="24"/>
              </w:rPr>
              <w:t>suprafață de 33.843.50 km2</w:t>
            </w:r>
          </w:p>
          <w:p w14:paraId="5FAAA752" w14:textId="0259FA14" w:rsidR="00611C8F" w:rsidRDefault="00611C8F" w:rsidP="00F366BA">
            <w:pPr>
              <w:spacing w:after="120"/>
              <w:ind w:right="23"/>
              <w:jc w:val="both"/>
              <w:rPr>
                <w:sz w:val="24"/>
                <w:szCs w:val="24"/>
                <w:highlight w:val="yellow"/>
              </w:rPr>
            </w:pPr>
            <w:r w:rsidRPr="00294454">
              <w:rPr>
                <w:sz w:val="24"/>
                <w:szCs w:val="24"/>
              </w:rPr>
              <w:t xml:space="preserve">Arealul </w:t>
            </w:r>
            <w:r>
              <w:rPr>
                <w:sz w:val="24"/>
                <w:szCs w:val="24"/>
              </w:rPr>
              <w:t>PNEC</w:t>
            </w:r>
            <w:r w:rsidRPr="00294454">
              <w:rPr>
                <w:sz w:val="24"/>
                <w:szCs w:val="24"/>
              </w:rPr>
              <w:t xml:space="preserve"> are un total </w:t>
            </w:r>
            <w:r w:rsidRPr="00CC285A">
              <w:rPr>
                <w:sz w:val="24"/>
                <w:szCs w:val="24"/>
              </w:rPr>
              <w:t xml:space="preserve">de </w:t>
            </w:r>
            <w:r w:rsidR="00CC285A" w:rsidRPr="00CC285A">
              <w:rPr>
                <w:color w:val="3C4043"/>
                <w:sz w:val="24"/>
                <w:szCs w:val="24"/>
                <w:shd w:val="clear" w:color="auto" w:fill="FFFFFF"/>
              </w:rPr>
              <w:t>2 512,8 mii</w:t>
            </w:r>
            <w:r w:rsidR="00CC285A">
              <w:rPr>
                <w:rFonts w:ascii="Raleway" w:hAnsi="Raleway"/>
                <w:b/>
                <w:bCs/>
                <w:color w:val="3C4043"/>
                <w:shd w:val="clear" w:color="auto" w:fill="FFFFFF"/>
              </w:rPr>
              <w:t xml:space="preserve"> </w:t>
            </w:r>
            <w:r w:rsidRPr="00294454">
              <w:rPr>
                <w:sz w:val="24"/>
                <w:szCs w:val="24"/>
              </w:rPr>
              <w:t xml:space="preserve">locuitori, rezidenți ai Republicii Moldova, conform datelor prezentate </w:t>
            </w:r>
            <w:r w:rsidR="007F2BB0">
              <w:rPr>
                <w:sz w:val="24"/>
                <w:szCs w:val="24"/>
              </w:rPr>
              <w:t xml:space="preserve">la 1 ianuarie </w:t>
            </w:r>
            <w:r w:rsidRPr="00294454">
              <w:rPr>
                <w:sz w:val="24"/>
                <w:szCs w:val="24"/>
              </w:rPr>
              <w:t>202</w:t>
            </w:r>
            <w:r w:rsidR="00CC285A">
              <w:rPr>
                <w:sz w:val="24"/>
                <w:szCs w:val="24"/>
              </w:rPr>
              <w:t>3</w:t>
            </w:r>
            <w:r w:rsidRPr="00294454">
              <w:rPr>
                <w:sz w:val="24"/>
                <w:szCs w:val="24"/>
              </w:rPr>
              <w:t xml:space="preserve"> de către Banca de Date Statistice Moldova. </w:t>
            </w:r>
          </w:p>
          <w:p w14:paraId="23E2B4CB" w14:textId="71F62BAA" w:rsidR="00802DDC" w:rsidRPr="00D21201" w:rsidRDefault="00802DDC" w:rsidP="000F20D8">
            <w:pPr>
              <w:jc w:val="both"/>
              <w:rPr>
                <w:bCs/>
                <w:sz w:val="24"/>
                <w:szCs w:val="24"/>
                <w:lang w:eastAsia="uk-UA"/>
              </w:rPr>
            </w:pPr>
            <w:r w:rsidRPr="008C7583">
              <w:rPr>
                <w:bCs/>
                <w:i/>
                <w:iCs/>
                <w:sz w:val="24"/>
                <w:szCs w:val="24"/>
                <w:u w:val="single"/>
                <w:lang w:eastAsia="uk-UA"/>
              </w:rPr>
              <w:t>b) principalele caracteristici şi probleme de mediu din teritoriul afectat</w:t>
            </w:r>
          </w:p>
          <w:p w14:paraId="5A3D9184" w14:textId="6DF70D0F" w:rsidR="00F11BF4" w:rsidRPr="00F07EEE" w:rsidRDefault="00F11BF4" w:rsidP="00F366BA">
            <w:pPr>
              <w:spacing w:after="120"/>
              <w:ind w:right="23"/>
              <w:jc w:val="both"/>
              <w:rPr>
                <w:sz w:val="24"/>
                <w:szCs w:val="24"/>
              </w:rPr>
            </w:pPr>
            <w:r>
              <w:rPr>
                <w:sz w:val="24"/>
                <w:szCs w:val="24"/>
              </w:rPr>
              <w:t xml:space="preserve">Se consideră că în fiecare dintre </w:t>
            </w:r>
            <w:r w:rsidR="00B40CAD">
              <w:rPr>
                <w:sz w:val="24"/>
                <w:szCs w:val="24"/>
              </w:rPr>
              <w:t xml:space="preserve">componente </w:t>
            </w:r>
            <w:r w:rsidR="0047399F">
              <w:rPr>
                <w:sz w:val="24"/>
                <w:szCs w:val="24"/>
              </w:rPr>
              <w:t>prezentate la</w:t>
            </w:r>
            <w:r w:rsidR="009D3198">
              <w:rPr>
                <w:sz w:val="24"/>
                <w:szCs w:val="24"/>
              </w:rPr>
              <w:t xml:space="preserve"> </w:t>
            </w:r>
            <w:r w:rsidR="009D3198" w:rsidRPr="009D3198">
              <w:rPr>
                <w:i/>
                <w:iCs/>
                <w:sz w:val="24"/>
                <w:szCs w:val="24"/>
                <w:u w:val="single"/>
              </w:rPr>
              <w:t>pct.2,</w:t>
            </w:r>
            <w:r w:rsidR="0047399F" w:rsidRPr="009D3198">
              <w:rPr>
                <w:i/>
                <w:iCs/>
                <w:sz w:val="24"/>
                <w:szCs w:val="24"/>
                <w:u w:val="single"/>
              </w:rPr>
              <w:t xml:space="preserve"> lit. c)</w:t>
            </w:r>
            <w:r w:rsidR="0047399F">
              <w:rPr>
                <w:sz w:val="24"/>
                <w:szCs w:val="24"/>
              </w:rPr>
              <w:t xml:space="preserve"> existentă la moment probleme de med</w:t>
            </w:r>
            <w:r w:rsidR="006A71C6">
              <w:rPr>
                <w:sz w:val="24"/>
                <w:szCs w:val="24"/>
              </w:rPr>
              <w:t xml:space="preserve">iu. Printre altele amintim faptul că </w:t>
            </w:r>
            <w:r w:rsidRPr="00F11BF4">
              <w:rPr>
                <w:sz w:val="24"/>
                <w:szCs w:val="24"/>
              </w:rPr>
              <w:t xml:space="preserve">în ultimii 130 de ani temperatura medie anuală în Republica Moldova a crescut cu peste 1,0 °C. Drept urmare, seceta, inundațiile de proporții, valurile de căldură, ploile torențiale și alte fenomene climaterice extremale au devenit tot mai frecvente, </w:t>
            </w:r>
            <w:r w:rsidRPr="00F07EEE">
              <w:rPr>
                <w:sz w:val="24"/>
                <w:szCs w:val="24"/>
              </w:rPr>
              <w:t>lăsând în urmă un impact profund asupra economiei și societății.</w:t>
            </w:r>
          </w:p>
          <w:p w14:paraId="478A8884" w14:textId="22ED7A5A" w:rsidR="006A71C6" w:rsidRDefault="00533920" w:rsidP="00F366BA">
            <w:pPr>
              <w:spacing w:after="120"/>
              <w:ind w:right="23"/>
              <w:jc w:val="both"/>
              <w:rPr>
                <w:sz w:val="24"/>
                <w:szCs w:val="24"/>
              </w:rPr>
            </w:pPr>
            <w:r w:rsidRPr="00F07EEE">
              <w:rPr>
                <w:sz w:val="24"/>
                <w:szCs w:val="24"/>
              </w:rPr>
              <w:t xml:space="preserve">Așa cum este menționat în </w:t>
            </w:r>
            <w:r w:rsidR="00F07EEE" w:rsidRPr="00F07EEE">
              <w:rPr>
                <w:color w:val="000000"/>
                <w:sz w:val="24"/>
                <w:szCs w:val="24"/>
              </w:rPr>
              <w:t>Strategia Națională de Dezvoltare „Moldova Europeană 2030”</w:t>
            </w:r>
            <w:r w:rsidR="00F07EEE" w:rsidRPr="00B11812">
              <w:rPr>
                <w:color w:val="000000"/>
              </w:rPr>
              <w:t xml:space="preserve"> </w:t>
            </w:r>
            <w:r w:rsidRPr="00533920">
              <w:rPr>
                <w:sz w:val="24"/>
                <w:szCs w:val="24"/>
              </w:rPr>
              <w:t>consecința cea mai directă a climei mai aride care se prefigurează în următoarele decenii va fi reducerea productivității culturilor agricole, inclusiv a grâului, porumbului, strugurilor, legumelor, culturilor tehnice și furajere, cu un gradient nord-sud pronunțat în magnitudinea impactului.</w:t>
            </w:r>
          </w:p>
          <w:p w14:paraId="4F0F63AE" w14:textId="29A183A7" w:rsidR="00A95606" w:rsidRDefault="00A95606" w:rsidP="00F366BA">
            <w:pPr>
              <w:spacing w:after="120"/>
              <w:ind w:right="23"/>
              <w:jc w:val="both"/>
              <w:rPr>
                <w:sz w:val="24"/>
                <w:szCs w:val="24"/>
              </w:rPr>
            </w:pPr>
            <w:r w:rsidRPr="00A95606">
              <w:rPr>
                <w:sz w:val="24"/>
                <w:szCs w:val="24"/>
              </w:rPr>
              <w:t>În ceea ce privește poluarea apei, principalele activități din țară care au aport la poluarea acesteia  sunt industria, managementul deșeurilor, agricultura și zootehnia.</w:t>
            </w:r>
          </w:p>
          <w:p w14:paraId="0F41D8FF" w14:textId="26350402" w:rsidR="00206489" w:rsidRDefault="00206489" w:rsidP="00F366BA">
            <w:pPr>
              <w:spacing w:after="120"/>
              <w:ind w:right="23"/>
              <w:jc w:val="both"/>
              <w:rPr>
                <w:sz w:val="24"/>
                <w:szCs w:val="24"/>
              </w:rPr>
            </w:pPr>
            <w:r>
              <w:rPr>
                <w:sz w:val="24"/>
                <w:szCs w:val="24"/>
              </w:rPr>
              <w:t>D</w:t>
            </w:r>
            <w:r w:rsidRPr="00206489">
              <w:rPr>
                <w:sz w:val="24"/>
                <w:szCs w:val="24"/>
              </w:rPr>
              <w:t>epozite de deșeuri sunt amplasate la o distanță mai mică de 500 m față de sectorul locativ, îndeosebi în sectorul rural, fapt care provoacă incomodități iar uneori pun în pericol sănătatea populației din localitățile respective. O mare parte din depozitele actuale de deșeuri nu sunt exploatate.</w:t>
            </w:r>
          </w:p>
          <w:p w14:paraId="572ED635" w14:textId="77777777" w:rsidR="00802DDC" w:rsidRDefault="00245FB5" w:rsidP="00F366BA">
            <w:pPr>
              <w:spacing w:after="120"/>
              <w:ind w:right="23"/>
              <w:jc w:val="both"/>
              <w:rPr>
                <w:sz w:val="24"/>
                <w:szCs w:val="24"/>
              </w:rPr>
            </w:pPr>
            <w:r w:rsidRPr="00245FB5">
              <w:rPr>
                <w:sz w:val="24"/>
                <w:szCs w:val="24"/>
              </w:rPr>
              <w:t>În Republica Moldova, după 2010, se înregistrează o tendință de creștere a emisiilor de substanțe poluante în aer – evoluție ce sporește riscurile pentru starea mediului și sănătatea oamenilor. Această evoluție este cauzată de creșterea rapidă a emisiilor de substanțe poluante generate de transportul auto.</w:t>
            </w:r>
          </w:p>
          <w:p w14:paraId="6F9095AB" w14:textId="67D4525D" w:rsidR="00245FB5" w:rsidRPr="00D21201" w:rsidRDefault="00040A3C" w:rsidP="00F366BA">
            <w:pPr>
              <w:spacing w:after="120"/>
              <w:ind w:right="23"/>
              <w:jc w:val="both"/>
              <w:rPr>
                <w:sz w:val="24"/>
                <w:szCs w:val="24"/>
              </w:rPr>
            </w:pPr>
            <w:r>
              <w:rPr>
                <w:sz w:val="24"/>
                <w:szCs w:val="24"/>
              </w:rPr>
              <w:t>P</w:t>
            </w:r>
            <w:r w:rsidR="00904C20">
              <w:rPr>
                <w:sz w:val="24"/>
                <w:szCs w:val="24"/>
              </w:rPr>
              <w:t>roblemel</w:t>
            </w:r>
            <w:r>
              <w:rPr>
                <w:sz w:val="24"/>
                <w:szCs w:val="24"/>
              </w:rPr>
              <w:t>e</w:t>
            </w:r>
            <w:r w:rsidR="00904C20">
              <w:rPr>
                <w:sz w:val="24"/>
                <w:szCs w:val="24"/>
              </w:rPr>
              <w:t xml:space="preserve"> care afectează componentele de mediu </w:t>
            </w:r>
            <w:r>
              <w:rPr>
                <w:sz w:val="24"/>
                <w:szCs w:val="24"/>
              </w:rPr>
              <w:t>din</w:t>
            </w:r>
            <w:r w:rsidR="00904C20">
              <w:rPr>
                <w:sz w:val="24"/>
                <w:szCs w:val="24"/>
              </w:rPr>
              <w:t xml:space="preserve"> </w:t>
            </w:r>
            <w:r>
              <w:rPr>
                <w:sz w:val="24"/>
                <w:szCs w:val="24"/>
              </w:rPr>
              <w:t>R</w:t>
            </w:r>
            <w:r w:rsidR="00904C20">
              <w:rPr>
                <w:sz w:val="24"/>
                <w:szCs w:val="24"/>
              </w:rPr>
              <w:t>epubl</w:t>
            </w:r>
            <w:r>
              <w:rPr>
                <w:sz w:val="24"/>
                <w:szCs w:val="24"/>
              </w:rPr>
              <w:t>ica</w:t>
            </w:r>
            <w:r w:rsidR="00904C20">
              <w:rPr>
                <w:sz w:val="24"/>
                <w:szCs w:val="24"/>
              </w:rPr>
              <w:t xml:space="preserve"> </w:t>
            </w:r>
            <w:r>
              <w:rPr>
                <w:sz w:val="24"/>
                <w:szCs w:val="24"/>
              </w:rPr>
              <w:t>Moldova vor fi i</w:t>
            </w:r>
            <w:r w:rsidR="00A455CE">
              <w:rPr>
                <w:sz w:val="24"/>
                <w:szCs w:val="24"/>
              </w:rPr>
              <w:t>dentificate</w:t>
            </w:r>
            <w:r>
              <w:rPr>
                <w:sz w:val="24"/>
                <w:szCs w:val="24"/>
              </w:rPr>
              <w:t xml:space="preserve"> în Raportul de determinare a domeniului de aplicare a ESM și, respect</w:t>
            </w:r>
            <w:r w:rsidR="00A455CE">
              <w:rPr>
                <w:sz w:val="24"/>
                <w:szCs w:val="24"/>
              </w:rPr>
              <w:t>i</w:t>
            </w:r>
            <w:r>
              <w:rPr>
                <w:sz w:val="24"/>
                <w:szCs w:val="24"/>
              </w:rPr>
              <w:t>v, detaliate în Raportul ESM</w:t>
            </w:r>
            <w:r w:rsidR="00A455CE">
              <w:rPr>
                <w:sz w:val="24"/>
                <w:szCs w:val="24"/>
              </w:rPr>
              <w:t>.</w:t>
            </w:r>
          </w:p>
        </w:tc>
      </w:tr>
      <w:tr w:rsidR="00111454" w:rsidRPr="00855728" w14:paraId="683A1977" w14:textId="77777777" w:rsidTr="004C6A96">
        <w:tc>
          <w:tcPr>
            <w:tcW w:w="9571" w:type="dxa"/>
            <w:shd w:val="clear" w:color="auto" w:fill="auto"/>
          </w:tcPr>
          <w:p w14:paraId="0765D21B" w14:textId="77777777" w:rsidR="00111454" w:rsidRPr="00855728" w:rsidRDefault="00111454" w:rsidP="004C6A96">
            <w:pPr>
              <w:spacing w:before="120"/>
              <w:jc w:val="center"/>
              <w:rPr>
                <w:b/>
                <w:bCs/>
                <w:color w:val="000000"/>
                <w:sz w:val="24"/>
                <w:szCs w:val="24"/>
                <w:lang w:eastAsia="ro-RO"/>
              </w:rPr>
            </w:pPr>
          </w:p>
        </w:tc>
      </w:tr>
    </w:tbl>
    <w:p w14:paraId="33BDF20A" w14:textId="77777777" w:rsidR="00802DDC" w:rsidRPr="00855728" w:rsidRDefault="00802DDC" w:rsidP="00802DDC">
      <w:pPr>
        <w:pStyle w:val="Corptext3"/>
        <w:tabs>
          <w:tab w:val="left" w:pos="0"/>
        </w:tabs>
        <w:spacing w:after="0"/>
        <w:jc w:val="both"/>
        <w:rPr>
          <w:b/>
          <w:sz w:val="24"/>
          <w:szCs w:val="24"/>
          <w:highlight w:val="yellow"/>
        </w:rPr>
      </w:pPr>
    </w:p>
    <w:p w14:paraId="714E2A4C" w14:textId="77777777" w:rsidR="00C74977" w:rsidRPr="00855728" w:rsidRDefault="00C74977">
      <w:pPr>
        <w:rPr>
          <w:sz w:val="24"/>
          <w:szCs w:val="24"/>
        </w:rPr>
      </w:pPr>
    </w:p>
    <w:sectPr w:rsidR="00C74977" w:rsidRPr="00855728" w:rsidSect="000F20D8">
      <w:pgSz w:w="11906" w:h="16838"/>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aleway">
    <w:altName w:val="Times New Roman"/>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7B1C"/>
    <w:multiLevelType w:val="multilevel"/>
    <w:tmpl w:val="FF9E17F0"/>
    <w:lvl w:ilvl="0">
      <w:start w:val="1"/>
      <w:numFmt w:val="decimal"/>
      <w:pStyle w:val="Titlu1"/>
      <w:lvlText w:val="%1"/>
      <w:lvlJc w:val="left"/>
      <w:pPr>
        <w:tabs>
          <w:tab w:val="num" w:pos="432"/>
        </w:tabs>
        <w:ind w:left="432" w:hanging="432"/>
      </w:pPr>
      <w:rPr>
        <w:rFonts w:hint="default"/>
      </w:rPr>
    </w:lvl>
    <w:lvl w:ilvl="1">
      <w:start w:val="1"/>
      <w:numFmt w:val="decimal"/>
      <w:pStyle w:val="Titlu2"/>
      <w:lvlText w:val="%1.%2"/>
      <w:lvlJc w:val="left"/>
      <w:pPr>
        <w:tabs>
          <w:tab w:val="num" w:pos="756"/>
        </w:tabs>
        <w:ind w:left="756" w:hanging="576"/>
      </w:pPr>
      <w:rPr>
        <w:rFonts w:hint="default"/>
      </w:rPr>
    </w:lvl>
    <w:lvl w:ilvl="2">
      <w:start w:val="1"/>
      <w:numFmt w:val="decimal"/>
      <w:pStyle w:val="Titlu3"/>
      <w:lvlText w:val="%1.%2.%3"/>
      <w:lvlJc w:val="left"/>
      <w:pPr>
        <w:tabs>
          <w:tab w:val="num" w:pos="720"/>
        </w:tabs>
        <w:ind w:left="720" w:hanging="720"/>
      </w:pPr>
      <w:rPr>
        <w:rFonts w:hint="default"/>
      </w:rPr>
    </w:lvl>
    <w:lvl w:ilvl="3">
      <w:start w:val="1"/>
      <w:numFmt w:val="none"/>
      <w:pStyle w:val="Titlu4"/>
      <w:lvlText w:val=""/>
      <w:lvlJc w:val="left"/>
      <w:pPr>
        <w:tabs>
          <w:tab w:val="num" w:pos="864"/>
        </w:tabs>
        <w:ind w:left="864" w:hanging="864"/>
      </w:pPr>
      <w:rPr>
        <w:rFonts w:hint="default"/>
      </w:rPr>
    </w:lvl>
    <w:lvl w:ilvl="4">
      <w:start w:val="1"/>
      <w:numFmt w:val="decimal"/>
      <w:pStyle w:val="Titlu5"/>
      <w:lvlText w:val="%1.%2.%3.%4.%5"/>
      <w:lvlJc w:val="left"/>
      <w:pPr>
        <w:tabs>
          <w:tab w:val="num" w:pos="1008"/>
        </w:tabs>
        <w:ind w:left="1008" w:hanging="1008"/>
      </w:pPr>
      <w:rPr>
        <w:rFonts w:hint="default"/>
      </w:rPr>
    </w:lvl>
    <w:lvl w:ilvl="5">
      <w:start w:val="1"/>
      <w:numFmt w:val="decimal"/>
      <w:pStyle w:val="Titlu6"/>
      <w:lvlText w:val="%1.%2.%3.%4.%5.%6"/>
      <w:lvlJc w:val="left"/>
      <w:pPr>
        <w:tabs>
          <w:tab w:val="num" w:pos="1152"/>
        </w:tabs>
        <w:ind w:left="1152" w:hanging="1152"/>
      </w:pPr>
      <w:rPr>
        <w:rFonts w:hint="default"/>
      </w:rPr>
    </w:lvl>
    <w:lvl w:ilvl="6">
      <w:start w:val="1"/>
      <w:numFmt w:val="decimal"/>
      <w:pStyle w:val="Titlu7"/>
      <w:lvlText w:val="%1.%2.%3.%4.%5.%6.%7"/>
      <w:lvlJc w:val="left"/>
      <w:pPr>
        <w:tabs>
          <w:tab w:val="num" w:pos="1296"/>
        </w:tabs>
        <w:ind w:left="1296" w:hanging="1296"/>
      </w:pPr>
      <w:rPr>
        <w:rFonts w:hint="default"/>
      </w:rPr>
    </w:lvl>
    <w:lvl w:ilvl="7">
      <w:start w:val="1"/>
      <w:numFmt w:val="decimal"/>
      <w:pStyle w:val="Titlu8"/>
      <w:lvlText w:val="%1.%2.%3.%4.%5.%6.%7.%8"/>
      <w:lvlJc w:val="left"/>
      <w:pPr>
        <w:tabs>
          <w:tab w:val="num" w:pos="1440"/>
        </w:tabs>
        <w:ind w:left="1440" w:hanging="1440"/>
      </w:pPr>
      <w:rPr>
        <w:rFonts w:hint="default"/>
      </w:rPr>
    </w:lvl>
    <w:lvl w:ilvl="8">
      <w:start w:val="1"/>
      <w:numFmt w:val="decimal"/>
      <w:pStyle w:val="Titlu9"/>
      <w:lvlText w:val="%1.%2.%3.%4.%5.%6.%7.%8.%9"/>
      <w:lvlJc w:val="left"/>
      <w:pPr>
        <w:tabs>
          <w:tab w:val="num" w:pos="1584"/>
        </w:tabs>
        <w:ind w:left="1584" w:hanging="1584"/>
      </w:pPr>
      <w:rPr>
        <w:rFonts w:hint="default"/>
      </w:rPr>
    </w:lvl>
  </w:abstractNum>
  <w:abstractNum w:abstractNumId="1" w15:restartNumberingAfterBreak="0">
    <w:nsid w:val="20AB7112"/>
    <w:multiLevelType w:val="hybridMultilevel"/>
    <w:tmpl w:val="D986AD06"/>
    <w:lvl w:ilvl="0" w:tplc="7182EAF8">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C66DC"/>
    <w:multiLevelType w:val="hybridMultilevel"/>
    <w:tmpl w:val="9606CBA2"/>
    <w:lvl w:ilvl="0" w:tplc="552CDA2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E2931"/>
    <w:multiLevelType w:val="hybridMultilevel"/>
    <w:tmpl w:val="D3748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7F053C"/>
    <w:multiLevelType w:val="hybridMultilevel"/>
    <w:tmpl w:val="093CB49C"/>
    <w:lvl w:ilvl="0" w:tplc="E7740B0C">
      <w:numFmt w:val="bullet"/>
      <w:lvlText w:val="-"/>
      <w:lvlJc w:val="left"/>
      <w:pPr>
        <w:ind w:left="360" w:hanging="360"/>
      </w:pPr>
      <w:rPr>
        <w:rFonts w:hint="default"/>
        <w:w w:val="104"/>
        <w:lang w:val="en-US" w:eastAsia="en-US" w:bidi="en-U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523200021">
    <w:abstractNumId w:val="0"/>
  </w:num>
  <w:num w:numId="2" w16cid:durableId="1746688586">
    <w:abstractNumId w:val="1"/>
  </w:num>
  <w:num w:numId="3" w16cid:durableId="1705060337">
    <w:abstractNumId w:val="4"/>
  </w:num>
  <w:num w:numId="4" w16cid:durableId="1277560411">
    <w:abstractNumId w:val="3"/>
  </w:num>
  <w:num w:numId="5" w16cid:durableId="1247497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1E4"/>
    <w:rsid w:val="000075A5"/>
    <w:rsid w:val="00022BBE"/>
    <w:rsid w:val="00040A3C"/>
    <w:rsid w:val="00050DA2"/>
    <w:rsid w:val="00062941"/>
    <w:rsid w:val="00080BB2"/>
    <w:rsid w:val="000A5590"/>
    <w:rsid w:val="000A74CF"/>
    <w:rsid w:val="000D2543"/>
    <w:rsid w:val="000F20D8"/>
    <w:rsid w:val="000F24B4"/>
    <w:rsid w:val="00102AD6"/>
    <w:rsid w:val="00111454"/>
    <w:rsid w:val="00123B16"/>
    <w:rsid w:val="001417D5"/>
    <w:rsid w:val="0014398E"/>
    <w:rsid w:val="0014452A"/>
    <w:rsid w:val="001465A6"/>
    <w:rsid w:val="00180C92"/>
    <w:rsid w:val="001B0458"/>
    <w:rsid w:val="001B6B1C"/>
    <w:rsid w:val="001B7CD0"/>
    <w:rsid w:val="001C21DB"/>
    <w:rsid w:val="001C4B34"/>
    <w:rsid w:val="001D5285"/>
    <w:rsid w:val="0020101F"/>
    <w:rsid w:val="00204A2E"/>
    <w:rsid w:val="00206489"/>
    <w:rsid w:val="00237253"/>
    <w:rsid w:val="00245FB5"/>
    <w:rsid w:val="002665A2"/>
    <w:rsid w:val="00294454"/>
    <w:rsid w:val="002A5F71"/>
    <w:rsid w:val="002E05B6"/>
    <w:rsid w:val="002E1121"/>
    <w:rsid w:val="00314942"/>
    <w:rsid w:val="003522C0"/>
    <w:rsid w:val="00363C30"/>
    <w:rsid w:val="00366546"/>
    <w:rsid w:val="003839CC"/>
    <w:rsid w:val="003C2BCA"/>
    <w:rsid w:val="003C4600"/>
    <w:rsid w:val="003D5274"/>
    <w:rsid w:val="003E12A3"/>
    <w:rsid w:val="00433C8C"/>
    <w:rsid w:val="00433FFF"/>
    <w:rsid w:val="004345F0"/>
    <w:rsid w:val="00434A81"/>
    <w:rsid w:val="00461A82"/>
    <w:rsid w:val="00464C03"/>
    <w:rsid w:val="00473743"/>
    <w:rsid w:val="0047399F"/>
    <w:rsid w:val="0049582E"/>
    <w:rsid w:val="004B7F82"/>
    <w:rsid w:val="004C7679"/>
    <w:rsid w:val="004D2576"/>
    <w:rsid w:val="004D2C4D"/>
    <w:rsid w:val="004E21DB"/>
    <w:rsid w:val="004E779B"/>
    <w:rsid w:val="005218EA"/>
    <w:rsid w:val="00523DFB"/>
    <w:rsid w:val="00533920"/>
    <w:rsid w:val="00546DD5"/>
    <w:rsid w:val="00555994"/>
    <w:rsid w:val="0056199F"/>
    <w:rsid w:val="005855FF"/>
    <w:rsid w:val="005A577C"/>
    <w:rsid w:val="005C0441"/>
    <w:rsid w:val="005C11CC"/>
    <w:rsid w:val="005C5C32"/>
    <w:rsid w:val="005D32DE"/>
    <w:rsid w:val="006041B1"/>
    <w:rsid w:val="00611C8F"/>
    <w:rsid w:val="00635E97"/>
    <w:rsid w:val="0064574F"/>
    <w:rsid w:val="006477D1"/>
    <w:rsid w:val="00667E7C"/>
    <w:rsid w:val="00672A69"/>
    <w:rsid w:val="00676CAA"/>
    <w:rsid w:val="00685C95"/>
    <w:rsid w:val="0068648F"/>
    <w:rsid w:val="006A71C6"/>
    <w:rsid w:val="006B1444"/>
    <w:rsid w:val="006B29B6"/>
    <w:rsid w:val="00714DEB"/>
    <w:rsid w:val="0076668C"/>
    <w:rsid w:val="007957E1"/>
    <w:rsid w:val="007A0CE2"/>
    <w:rsid w:val="007C1C1C"/>
    <w:rsid w:val="007E3BC3"/>
    <w:rsid w:val="007F019B"/>
    <w:rsid w:val="007F2BB0"/>
    <w:rsid w:val="00802DDC"/>
    <w:rsid w:val="00805ADA"/>
    <w:rsid w:val="00807CD5"/>
    <w:rsid w:val="00840041"/>
    <w:rsid w:val="00850947"/>
    <w:rsid w:val="00855728"/>
    <w:rsid w:val="00872C20"/>
    <w:rsid w:val="008861FE"/>
    <w:rsid w:val="00894004"/>
    <w:rsid w:val="008A0F01"/>
    <w:rsid w:val="008C7583"/>
    <w:rsid w:val="00904C20"/>
    <w:rsid w:val="009057BE"/>
    <w:rsid w:val="009262C5"/>
    <w:rsid w:val="00931819"/>
    <w:rsid w:val="00936961"/>
    <w:rsid w:val="0094462A"/>
    <w:rsid w:val="009466B0"/>
    <w:rsid w:val="00964D57"/>
    <w:rsid w:val="00965DE3"/>
    <w:rsid w:val="0097425E"/>
    <w:rsid w:val="009B67ED"/>
    <w:rsid w:val="009B6A60"/>
    <w:rsid w:val="009C19D8"/>
    <w:rsid w:val="009D3198"/>
    <w:rsid w:val="00A019D3"/>
    <w:rsid w:val="00A17F33"/>
    <w:rsid w:val="00A248C7"/>
    <w:rsid w:val="00A24EE9"/>
    <w:rsid w:val="00A40596"/>
    <w:rsid w:val="00A455CE"/>
    <w:rsid w:val="00A52C5C"/>
    <w:rsid w:val="00A64F7A"/>
    <w:rsid w:val="00A916B9"/>
    <w:rsid w:val="00A91D03"/>
    <w:rsid w:val="00A94C7A"/>
    <w:rsid w:val="00A95606"/>
    <w:rsid w:val="00A9619E"/>
    <w:rsid w:val="00A975FD"/>
    <w:rsid w:val="00B01041"/>
    <w:rsid w:val="00B03715"/>
    <w:rsid w:val="00B050C1"/>
    <w:rsid w:val="00B338E3"/>
    <w:rsid w:val="00B37C10"/>
    <w:rsid w:val="00B40CAD"/>
    <w:rsid w:val="00B62F63"/>
    <w:rsid w:val="00B70944"/>
    <w:rsid w:val="00B77768"/>
    <w:rsid w:val="00B811E4"/>
    <w:rsid w:val="00BC60B4"/>
    <w:rsid w:val="00BD21F5"/>
    <w:rsid w:val="00BE1E2E"/>
    <w:rsid w:val="00BF1BBE"/>
    <w:rsid w:val="00BF5650"/>
    <w:rsid w:val="00C248CC"/>
    <w:rsid w:val="00C609B3"/>
    <w:rsid w:val="00C74977"/>
    <w:rsid w:val="00C94BCB"/>
    <w:rsid w:val="00CC211A"/>
    <w:rsid w:val="00CC285A"/>
    <w:rsid w:val="00CC6E48"/>
    <w:rsid w:val="00CE0092"/>
    <w:rsid w:val="00CE7DF1"/>
    <w:rsid w:val="00CE7EBF"/>
    <w:rsid w:val="00D00EAC"/>
    <w:rsid w:val="00D11AB4"/>
    <w:rsid w:val="00D21201"/>
    <w:rsid w:val="00D23AA6"/>
    <w:rsid w:val="00D2448E"/>
    <w:rsid w:val="00D313AC"/>
    <w:rsid w:val="00D33160"/>
    <w:rsid w:val="00D348DD"/>
    <w:rsid w:val="00D356F1"/>
    <w:rsid w:val="00D77CC4"/>
    <w:rsid w:val="00D976F4"/>
    <w:rsid w:val="00DD41BC"/>
    <w:rsid w:val="00DE2A56"/>
    <w:rsid w:val="00DE6611"/>
    <w:rsid w:val="00E02B63"/>
    <w:rsid w:val="00E12A7A"/>
    <w:rsid w:val="00E177EB"/>
    <w:rsid w:val="00E226EA"/>
    <w:rsid w:val="00E77E6E"/>
    <w:rsid w:val="00EA5763"/>
    <w:rsid w:val="00EB408E"/>
    <w:rsid w:val="00F07EEE"/>
    <w:rsid w:val="00F11BF4"/>
    <w:rsid w:val="00F366BA"/>
    <w:rsid w:val="00F56564"/>
    <w:rsid w:val="00F6690B"/>
    <w:rsid w:val="00FA0C6A"/>
    <w:rsid w:val="00FA4E2D"/>
    <w:rsid w:val="00FB4AD2"/>
    <w:rsid w:val="00FC1148"/>
    <w:rsid w:val="00FD19E6"/>
    <w:rsid w:val="00FD25E0"/>
    <w:rsid w:val="00FE1BCE"/>
    <w:rsid w:val="00FE6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D1DE"/>
  <w15:chartTrackingRefBased/>
  <w15:docId w15:val="{429ED4E0-E88B-4E78-8804-9B12592C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DDC"/>
    <w:pPr>
      <w:spacing w:after="0" w:line="240" w:lineRule="auto"/>
    </w:pPr>
    <w:rPr>
      <w:rFonts w:ascii="Times New Roman" w:eastAsia="Times New Roman" w:hAnsi="Times New Roman" w:cs="Times New Roman"/>
      <w:sz w:val="20"/>
      <w:szCs w:val="20"/>
      <w:lang w:val="ro-RO"/>
    </w:rPr>
  </w:style>
  <w:style w:type="paragraph" w:styleId="Titlu1">
    <w:name w:val="heading 1"/>
    <w:basedOn w:val="Normal"/>
    <w:next w:val="Normal"/>
    <w:link w:val="Titlu1Caracter"/>
    <w:qFormat/>
    <w:rsid w:val="00802DDC"/>
    <w:pPr>
      <w:keepNext/>
      <w:pageBreakBefore/>
      <w:numPr>
        <w:numId w:val="1"/>
      </w:numPr>
      <w:spacing w:before="120"/>
      <w:outlineLvl w:val="0"/>
    </w:pPr>
    <w:rPr>
      <w:rFonts w:ascii="Arial" w:hAnsi="Arial"/>
      <w:b/>
      <w:sz w:val="32"/>
      <w:lang w:val="en-US"/>
    </w:rPr>
  </w:style>
  <w:style w:type="paragraph" w:styleId="Titlu2">
    <w:name w:val="heading 2"/>
    <w:basedOn w:val="Normal"/>
    <w:next w:val="Normal"/>
    <w:link w:val="Titlu2Caracter"/>
    <w:qFormat/>
    <w:rsid w:val="00802DDC"/>
    <w:pPr>
      <w:keepNext/>
      <w:numPr>
        <w:ilvl w:val="1"/>
        <w:numId w:val="1"/>
      </w:numPr>
      <w:spacing w:before="240" w:after="120"/>
      <w:outlineLvl w:val="1"/>
    </w:pPr>
    <w:rPr>
      <w:b/>
      <w:sz w:val="24"/>
      <w:lang w:val="en-US"/>
    </w:rPr>
  </w:style>
  <w:style w:type="paragraph" w:styleId="Titlu3">
    <w:name w:val="heading 3"/>
    <w:basedOn w:val="Normal"/>
    <w:next w:val="Normal"/>
    <w:link w:val="Titlu3Caracter"/>
    <w:qFormat/>
    <w:rsid w:val="00802DDC"/>
    <w:pPr>
      <w:keepNext/>
      <w:numPr>
        <w:ilvl w:val="2"/>
        <w:numId w:val="1"/>
      </w:numPr>
      <w:spacing w:before="240" w:after="120"/>
      <w:outlineLvl w:val="2"/>
    </w:pPr>
    <w:rPr>
      <w:b/>
      <w:i/>
      <w:sz w:val="24"/>
      <w:lang w:val="en-US"/>
    </w:rPr>
  </w:style>
  <w:style w:type="paragraph" w:styleId="Titlu4">
    <w:name w:val="heading 4"/>
    <w:basedOn w:val="Normal"/>
    <w:next w:val="Normal"/>
    <w:link w:val="Titlu4Caracter"/>
    <w:qFormat/>
    <w:rsid w:val="00802DDC"/>
    <w:pPr>
      <w:keepNext/>
      <w:numPr>
        <w:ilvl w:val="3"/>
        <w:numId w:val="1"/>
      </w:numPr>
      <w:spacing w:before="120"/>
      <w:outlineLvl w:val="3"/>
    </w:pPr>
    <w:rPr>
      <w:sz w:val="24"/>
      <w:lang w:val="en-US"/>
    </w:rPr>
  </w:style>
  <w:style w:type="paragraph" w:styleId="Titlu5">
    <w:name w:val="heading 5"/>
    <w:basedOn w:val="Normal"/>
    <w:next w:val="Normal"/>
    <w:link w:val="Titlu5Caracter"/>
    <w:qFormat/>
    <w:rsid w:val="00802DDC"/>
    <w:pPr>
      <w:keepNext/>
      <w:numPr>
        <w:ilvl w:val="4"/>
        <w:numId w:val="1"/>
      </w:numPr>
      <w:spacing w:before="120"/>
      <w:jc w:val="both"/>
      <w:outlineLvl w:val="4"/>
    </w:pPr>
    <w:rPr>
      <w:b/>
      <w:sz w:val="24"/>
      <w:u w:val="single"/>
      <w:lang w:val="en-US"/>
    </w:rPr>
  </w:style>
  <w:style w:type="paragraph" w:styleId="Titlu6">
    <w:name w:val="heading 6"/>
    <w:basedOn w:val="Normal"/>
    <w:next w:val="Normal"/>
    <w:link w:val="Titlu6Caracter"/>
    <w:qFormat/>
    <w:rsid w:val="00802DDC"/>
    <w:pPr>
      <w:numPr>
        <w:ilvl w:val="5"/>
        <w:numId w:val="1"/>
      </w:numPr>
      <w:spacing w:before="240" w:after="60"/>
      <w:outlineLvl w:val="5"/>
    </w:pPr>
    <w:rPr>
      <w:b/>
      <w:bCs/>
      <w:sz w:val="22"/>
      <w:szCs w:val="22"/>
      <w:lang w:val="en-US"/>
    </w:rPr>
  </w:style>
  <w:style w:type="paragraph" w:styleId="Titlu7">
    <w:name w:val="heading 7"/>
    <w:basedOn w:val="Normal"/>
    <w:next w:val="Normal"/>
    <w:link w:val="Titlu7Caracter"/>
    <w:qFormat/>
    <w:rsid w:val="00802DDC"/>
    <w:pPr>
      <w:keepNext/>
      <w:numPr>
        <w:ilvl w:val="6"/>
        <w:numId w:val="1"/>
      </w:numPr>
      <w:spacing w:before="120"/>
      <w:outlineLvl w:val="6"/>
    </w:pPr>
    <w:rPr>
      <w:b/>
      <w:snapToGrid w:val="0"/>
      <w:color w:val="008080"/>
      <w:sz w:val="24"/>
      <w:lang w:val="en-US"/>
    </w:rPr>
  </w:style>
  <w:style w:type="paragraph" w:styleId="Titlu8">
    <w:name w:val="heading 8"/>
    <w:basedOn w:val="Normal"/>
    <w:next w:val="Normal"/>
    <w:link w:val="Titlu8Caracter"/>
    <w:qFormat/>
    <w:rsid w:val="00802DDC"/>
    <w:pPr>
      <w:numPr>
        <w:ilvl w:val="7"/>
        <w:numId w:val="1"/>
      </w:numPr>
      <w:spacing w:before="240" w:after="60"/>
      <w:outlineLvl w:val="7"/>
    </w:pPr>
    <w:rPr>
      <w:i/>
      <w:iCs/>
      <w:sz w:val="24"/>
      <w:szCs w:val="24"/>
      <w:lang w:val="en-US"/>
    </w:rPr>
  </w:style>
  <w:style w:type="paragraph" w:styleId="Titlu9">
    <w:name w:val="heading 9"/>
    <w:basedOn w:val="Normal"/>
    <w:next w:val="Normal"/>
    <w:link w:val="Titlu9Caracter"/>
    <w:qFormat/>
    <w:rsid w:val="00802DDC"/>
    <w:pPr>
      <w:keepNext/>
      <w:numPr>
        <w:ilvl w:val="8"/>
        <w:numId w:val="1"/>
      </w:numPr>
      <w:spacing w:before="120"/>
      <w:jc w:val="both"/>
      <w:outlineLvl w:val="8"/>
    </w:pPr>
    <w:rPr>
      <w:color w:val="0000FF"/>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02DDC"/>
    <w:rPr>
      <w:rFonts w:ascii="Arial" w:eastAsia="Times New Roman" w:hAnsi="Arial" w:cs="Times New Roman"/>
      <w:b/>
      <w:sz w:val="32"/>
      <w:szCs w:val="20"/>
      <w:lang w:val="en-US"/>
    </w:rPr>
  </w:style>
  <w:style w:type="character" w:customStyle="1" w:styleId="Titlu2Caracter">
    <w:name w:val="Titlu 2 Caracter"/>
    <w:basedOn w:val="Fontdeparagrafimplicit"/>
    <w:link w:val="Titlu2"/>
    <w:rsid w:val="00802DDC"/>
    <w:rPr>
      <w:rFonts w:ascii="Times New Roman" w:eastAsia="Times New Roman" w:hAnsi="Times New Roman" w:cs="Times New Roman"/>
      <w:b/>
      <w:sz w:val="24"/>
      <w:szCs w:val="20"/>
      <w:lang w:val="en-US"/>
    </w:rPr>
  </w:style>
  <w:style w:type="character" w:customStyle="1" w:styleId="Titlu3Caracter">
    <w:name w:val="Titlu 3 Caracter"/>
    <w:basedOn w:val="Fontdeparagrafimplicit"/>
    <w:link w:val="Titlu3"/>
    <w:rsid w:val="00802DDC"/>
    <w:rPr>
      <w:rFonts w:ascii="Times New Roman" w:eastAsia="Times New Roman" w:hAnsi="Times New Roman" w:cs="Times New Roman"/>
      <w:b/>
      <w:i/>
      <w:sz w:val="24"/>
      <w:szCs w:val="20"/>
      <w:lang w:val="en-US"/>
    </w:rPr>
  </w:style>
  <w:style w:type="character" w:customStyle="1" w:styleId="Titlu4Caracter">
    <w:name w:val="Titlu 4 Caracter"/>
    <w:basedOn w:val="Fontdeparagrafimplicit"/>
    <w:link w:val="Titlu4"/>
    <w:rsid w:val="00802DDC"/>
    <w:rPr>
      <w:rFonts w:ascii="Times New Roman" w:eastAsia="Times New Roman" w:hAnsi="Times New Roman" w:cs="Times New Roman"/>
      <w:sz w:val="24"/>
      <w:szCs w:val="20"/>
      <w:lang w:val="en-US"/>
    </w:rPr>
  </w:style>
  <w:style w:type="character" w:customStyle="1" w:styleId="Titlu5Caracter">
    <w:name w:val="Titlu 5 Caracter"/>
    <w:basedOn w:val="Fontdeparagrafimplicit"/>
    <w:link w:val="Titlu5"/>
    <w:rsid w:val="00802DDC"/>
    <w:rPr>
      <w:rFonts w:ascii="Times New Roman" w:eastAsia="Times New Roman" w:hAnsi="Times New Roman" w:cs="Times New Roman"/>
      <w:b/>
      <w:sz w:val="24"/>
      <w:szCs w:val="20"/>
      <w:u w:val="single"/>
      <w:lang w:val="en-US"/>
    </w:rPr>
  </w:style>
  <w:style w:type="character" w:customStyle="1" w:styleId="Titlu6Caracter">
    <w:name w:val="Titlu 6 Caracter"/>
    <w:basedOn w:val="Fontdeparagrafimplicit"/>
    <w:link w:val="Titlu6"/>
    <w:rsid w:val="00802DDC"/>
    <w:rPr>
      <w:rFonts w:ascii="Times New Roman" w:eastAsia="Times New Roman" w:hAnsi="Times New Roman" w:cs="Times New Roman"/>
      <w:b/>
      <w:bCs/>
      <w:lang w:val="en-US"/>
    </w:rPr>
  </w:style>
  <w:style w:type="character" w:customStyle="1" w:styleId="Titlu7Caracter">
    <w:name w:val="Titlu 7 Caracter"/>
    <w:basedOn w:val="Fontdeparagrafimplicit"/>
    <w:link w:val="Titlu7"/>
    <w:rsid w:val="00802DDC"/>
    <w:rPr>
      <w:rFonts w:ascii="Times New Roman" w:eastAsia="Times New Roman" w:hAnsi="Times New Roman" w:cs="Times New Roman"/>
      <w:b/>
      <w:snapToGrid w:val="0"/>
      <w:color w:val="008080"/>
      <w:sz w:val="24"/>
      <w:szCs w:val="20"/>
      <w:lang w:val="en-US"/>
    </w:rPr>
  </w:style>
  <w:style w:type="character" w:customStyle="1" w:styleId="Titlu8Caracter">
    <w:name w:val="Titlu 8 Caracter"/>
    <w:basedOn w:val="Fontdeparagrafimplicit"/>
    <w:link w:val="Titlu8"/>
    <w:rsid w:val="00802DDC"/>
    <w:rPr>
      <w:rFonts w:ascii="Times New Roman" w:eastAsia="Times New Roman" w:hAnsi="Times New Roman" w:cs="Times New Roman"/>
      <w:i/>
      <w:iCs/>
      <w:sz w:val="24"/>
      <w:szCs w:val="24"/>
      <w:lang w:val="en-US"/>
    </w:rPr>
  </w:style>
  <w:style w:type="character" w:customStyle="1" w:styleId="Titlu9Caracter">
    <w:name w:val="Titlu 9 Caracter"/>
    <w:basedOn w:val="Fontdeparagrafimplicit"/>
    <w:link w:val="Titlu9"/>
    <w:rsid w:val="00802DDC"/>
    <w:rPr>
      <w:rFonts w:ascii="Times New Roman" w:eastAsia="Times New Roman" w:hAnsi="Times New Roman" w:cs="Times New Roman"/>
      <w:color w:val="0000FF"/>
      <w:sz w:val="24"/>
      <w:szCs w:val="20"/>
      <w:lang w:val="en-US"/>
    </w:rPr>
  </w:style>
  <w:style w:type="paragraph" w:styleId="Corptext3">
    <w:name w:val="Body Text 3"/>
    <w:basedOn w:val="Normal"/>
    <w:link w:val="Corptext3Caracter"/>
    <w:rsid w:val="00802DDC"/>
    <w:pPr>
      <w:spacing w:after="120"/>
    </w:pPr>
    <w:rPr>
      <w:sz w:val="16"/>
      <w:szCs w:val="16"/>
    </w:rPr>
  </w:style>
  <w:style w:type="character" w:customStyle="1" w:styleId="Corptext3Caracter">
    <w:name w:val="Corp text 3 Caracter"/>
    <w:basedOn w:val="Fontdeparagrafimplicit"/>
    <w:link w:val="Corptext3"/>
    <w:rsid w:val="00802DDC"/>
    <w:rPr>
      <w:rFonts w:ascii="Times New Roman" w:eastAsia="Times New Roman" w:hAnsi="Times New Roman" w:cs="Times New Roman"/>
      <w:sz w:val="16"/>
      <w:szCs w:val="16"/>
      <w:lang w:val="ro-RO"/>
    </w:rPr>
  </w:style>
  <w:style w:type="paragraph" w:styleId="Listparagraf">
    <w:name w:val="List Paragraph"/>
    <w:aliases w:val="List Bullet-OpsManual,References,Title Style 1,List Paragraph (numbered (a)),List_Paragraph,Multilevel para_II,List Paragraph1,MC Paragraphe Liste,Table/Figure Heading,En tête 1,WB Para,123 List Paragraph,Bullets,Main numbered paragraph"/>
    <w:basedOn w:val="Normal"/>
    <w:link w:val="ListparagrafCaracter"/>
    <w:uiPriority w:val="99"/>
    <w:qFormat/>
    <w:rsid w:val="00802DDC"/>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List Bullet-OpsManual Caracter,References Caracter,Title Style 1 Caracter,List Paragraph (numbered (a)) Caracter,List_Paragraph Caracter,Multilevel para_II Caracter,List Paragraph1 Caracter,MC Paragraphe Liste Caracter"/>
    <w:link w:val="Listparagraf"/>
    <w:uiPriority w:val="99"/>
    <w:qFormat/>
    <w:locked/>
    <w:rsid w:val="00802DDC"/>
    <w:rPr>
      <w:rFonts w:ascii="Calibri" w:eastAsia="Calibri" w:hAnsi="Calibri" w:cs="Times New Roman"/>
      <w:lang w:val="ro-RO"/>
    </w:rPr>
  </w:style>
  <w:style w:type="paragraph" w:styleId="Frspaiere">
    <w:name w:val="No Spacing"/>
    <w:link w:val="FrspaiereCaracter"/>
    <w:uiPriority w:val="1"/>
    <w:qFormat/>
    <w:rsid w:val="00802DDC"/>
    <w:pPr>
      <w:spacing w:after="0" w:line="240" w:lineRule="auto"/>
    </w:pPr>
    <w:rPr>
      <w:rFonts w:ascii="Calibri" w:eastAsia="Times New Roman" w:hAnsi="Calibri" w:cs="Times New Roman"/>
      <w:lang w:val="en-US"/>
    </w:rPr>
  </w:style>
  <w:style w:type="character" w:customStyle="1" w:styleId="FrspaiereCaracter">
    <w:name w:val="Fără spațiere Caracter"/>
    <w:link w:val="Frspaiere"/>
    <w:uiPriority w:val="1"/>
    <w:rsid w:val="00802DDC"/>
    <w:rPr>
      <w:rFonts w:ascii="Calibri" w:eastAsia="Times New Roman" w:hAnsi="Calibri" w:cs="Times New Roman"/>
      <w:lang w:val="en-US"/>
    </w:rPr>
  </w:style>
  <w:style w:type="table" w:styleId="Tabelgril">
    <w:name w:val="Table Grid"/>
    <w:basedOn w:val="TabelNormal"/>
    <w:uiPriority w:val="39"/>
    <w:rsid w:val="00146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FD25E0"/>
    <w:rPr>
      <w:color w:val="0563C1" w:themeColor="hyperlink"/>
      <w:u w:val="single"/>
    </w:rPr>
  </w:style>
  <w:style w:type="character" w:customStyle="1" w:styleId="MeniuneNerezolvat1">
    <w:name w:val="Mențiune Nerezolvat1"/>
    <w:basedOn w:val="Fontdeparagrafimplicit"/>
    <w:uiPriority w:val="99"/>
    <w:semiHidden/>
    <w:unhideWhenUsed/>
    <w:rsid w:val="00FD25E0"/>
    <w:rPr>
      <w:color w:val="605E5C"/>
      <w:shd w:val="clear" w:color="auto" w:fill="E1DFDD"/>
    </w:rPr>
  </w:style>
  <w:style w:type="paragraph" w:customStyle="1" w:styleId="P68B1DB1-TableParagraph5">
    <w:name w:val="P68B1DB1-TableParagraph5"/>
    <w:basedOn w:val="Normal"/>
    <w:rsid w:val="0068648F"/>
    <w:pPr>
      <w:widowControl w:val="0"/>
      <w:autoSpaceDE w:val="0"/>
      <w:autoSpaceDN w:val="0"/>
      <w:ind w:left="114"/>
      <w:jc w:val="both"/>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dimm.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colae.magdil@energie.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551D4-603D-436E-94A3-7CA1A605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5868</TotalTime>
  <Pages>12</Pages>
  <Words>6168</Words>
  <Characters>35776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Lopotenco</dc:creator>
  <cp:keywords/>
  <dc:description/>
  <cp:lastModifiedBy>Mariana Petreanu</cp:lastModifiedBy>
  <cp:revision>186</cp:revision>
  <dcterms:created xsi:type="dcterms:W3CDTF">2023-04-28T22:37:00Z</dcterms:created>
  <dcterms:modified xsi:type="dcterms:W3CDTF">2023-07-19T05:57:00Z</dcterms:modified>
</cp:coreProperties>
</file>